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3CA" w:rsidRPr="001444BA" w:rsidRDefault="001753CA" w:rsidP="001753CA">
      <w:pPr>
        <w:spacing w:after="240" w:line="240" w:lineRule="auto"/>
        <w:jc w:val="center"/>
        <w:rPr>
          <w:rFonts w:ascii="Times New Roman" w:hAnsi="Times New Roman" w:cs="Times New Roman"/>
          <w:b/>
          <w:bCs/>
          <w:sz w:val="20"/>
          <w:szCs w:val="20"/>
        </w:rPr>
      </w:pPr>
      <w:r w:rsidRPr="001444BA">
        <w:rPr>
          <w:rFonts w:ascii="Times New Roman" w:hAnsi="Times New Roman" w:cs="Times New Roman"/>
          <w:b/>
          <w:bCs/>
          <w:sz w:val="20"/>
          <w:szCs w:val="20"/>
        </w:rPr>
        <w:t>STRUCTURAL CONSTRAINTS ON UNITED NATIONS MEDIATION IN GREAT-POWER CONFLICTS: A CRITICAL APPRAISAL OF THE SECURITY COUNCIL VETO IN THE RUSSIAN-UKRAINIAN WAR, 2022–2025</w:t>
      </w:r>
    </w:p>
    <w:p w:rsidR="001753CA" w:rsidRPr="006731D9" w:rsidRDefault="001753CA" w:rsidP="001753CA">
      <w:pPr>
        <w:pStyle w:val="NoSpacing"/>
        <w:contextualSpacing/>
        <w:jc w:val="center"/>
        <w:rPr>
          <w:rFonts w:ascii="Times New Roman" w:hAnsi="Times New Roman"/>
          <w:b/>
          <w:sz w:val="20"/>
          <w:szCs w:val="20"/>
        </w:rPr>
      </w:pPr>
      <w:proofErr w:type="spellStart"/>
      <w:r w:rsidRPr="001444BA">
        <w:rPr>
          <w:rFonts w:ascii="Times New Roman" w:hAnsi="Times New Roman"/>
          <w:b/>
          <w:bCs/>
          <w:sz w:val="20"/>
          <w:szCs w:val="20"/>
        </w:rPr>
        <w:t>Quadri</w:t>
      </w:r>
      <w:proofErr w:type="spellEnd"/>
      <w:r w:rsidRPr="001444BA">
        <w:rPr>
          <w:rFonts w:ascii="Times New Roman" w:hAnsi="Times New Roman"/>
          <w:b/>
          <w:bCs/>
          <w:sz w:val="20"/>
          <w:szCs w:val="20"/>
        </w:rPr>
        <w:t xml:space="preserve"> </w:t>
      </w:r>
      <w:proofErr w:type="spellStart"/>
      <w:r w:rsidRPr="001444BA">
        <w:rPr>
          <w:rFonts w:ascii="Times New Roman" w:hAnsi="Times New Roman"/>
          <w:b/>
          <w:bCs/>
          <w:sz w:val="20"/>
          <w:szCs w:val="20"/>
        </w:rPr>
        <w:t>Abiola</w:t>
      </w:r>
      <w:proofErr w:type="spellEnd"/>
      <w:r w:rsidRPr="001753CA">
        <w:rPr>
          <w:rFonts w:ascii="Times New Roman" w:hAnsi="Times New Roman"/>
          <w:b/>
          <w:bCs/>
          <w:sz w:val="20"/>
          <w:szCs w:val="20"/>
        </w:rPr>
        <w:t xml:space="preserve"> </w:t>
      </w:r>
      <w:r w:rsidRPr="001444BA">
        <w:rPr>
          <w:rFonts w:ascii="Times New Roman" w:hAnsi="Times New Roman"/>
          <w:b/>
          <w:bCs/>
          <w:sz w:val="20"/>
          <w:szCs w:val="20"/>
        </w:rPr>
        <w:t>ESUOLA</w:t>
      </w:r>
      <w:r w:rsidRPr="006731D9">
        <w:rPr>
          <w:rStyle w:val="FootnoteReference"/>
          <w:rFonts w:ascii="Times New Roman" w:hAnsi="Times New Roman"/>
          <w:b/>
          <w:szCs w:val="20"/>
        </w:rPr>
        <w:t xml:space="preserve"> </w:t>
      </w:r>
      <w:r w:rsidRPr="006731D9">
        <w:rPr>
          <w:rStyle w:val="FootnoteReference"/>
          <w:rFonts w:ascii="Times New Roman" w:hAnsi="Times New Roman"/>
          <w:b/>
          <w:szCs w:val="20"/>
        </w:rPr>
        <w:footnoteReference w:id="1"/>
      </w:r>
    </w:p>
    <w:p w:rsidR="001753CA" w:rsidRPr="001444BA" w:rsidRDefault="001753CA" w:rsidP="001753CA">
      <w:pPr>
        <w:spacing w:after="40" w:line="240" w:lineRule="auto"/>
        <w:jc w:val="center"/>
        <w:rPr>
          <w:rFonts w:ascii="Times New Roman" w:hAnsi="Times New Roman" w:cs="Times New Roman"/>
          <w:b/>
          <w:bCs/>
          <w:sz w:val="20"/>
          <w:szCs w:val="20"/>
        </w:rPr>
      </w:pPr>
      <w:r w:rsidRPr="001444BA">
        <w:rPr>
          <w:rFonts w:ascii="Times New Roman" w:hAnsi="Times New Roman" w:cs="Times New Roman"/>
          <w:b/>
          <w:bCs/>
          <w:sz w:val="20"/>
          <w:szCs w:val="20"/>
        </w:rPr>
        <w:t xml:space="preserve">And </w:t>
      </w:r>
    </w:p>
    <w:p w:rsidR="001753CA" w:rsidRPr="001444BA" w:rsidRDefault="001753CA" w:rsidP="001753CA">
      <w:pPr>
        <w:spacing w:after="40" w:line="240" w:lineRule="auto"/>
        <w:jc w:val="center"/>
        <w:rPr>
          <w:rFonts w:ascii="Times New Roman" w:hAnsi="Times New Roman" w:cs="Times New Roman"/>
          <w:b/>
          <w:bCs/>
          <w:sz w:val="20"/>
          <w:szCs w:val="20"/>
        </w:rPr>
      </w:pPr>
      <w:r w:rsidRPr="001444BA">
        <w:rPr>
          <w:rFonts w:ascii="Times New Roman" w:hAnsi="Times New Roman" w:cs="Times New Roman"/>
          <w:b/>
          <w:bCs/>
          <w:sz w:val="20"/>
          <w:szCs w:val="20"/>
        </w:rPr>
        <w:t xml:space="preserve">Prof </w:t>
      </w:r>
      <w:r w:rsidR="00A940EF">
        <w:rPr>
          <w:b/>
          <w:bCs/>
        </w:rPr>
        <w:t>William</w:t>
      </w:r>
      <w:bookmarkStart w:id="0" w:name="_GoBack"/>
      <w:bookmarkEnd w:id="0"/>
      <w:r w:rsidR="00BB50F8">
        <w:rPr>
          <w:b/>
          <w:bCs/>
        </w:rPr>
        <w:t xml:space="preserve"> </w:t>
      </w:r>
      <w:r>
        <w:rPr>
          <w:b/>
          <w:bCs/>
        </w:rPr>
        <w:t>EHWARIEME</w:t>
      </w:r>
    </w:p>
    <w:p w:rsidR="001753CA" w:rsidRPr="001444BA" w:rsidRDefault="001753CA" w:rsidP="001753CA">
      <w:pPr>
        <w:spacing w:after="120" w:line="360" w:lineRule="auto"/>
        <w:jc w:val="both"/>
        <w:rPr>
          <w:rFonts w:ascii="Times New Roman" w:hAnsi="Times New Roman" w:cs="Times New Roman"/>
          <w:sz w:val="20"/>
          <w:szCs w:val="20"/>
        </w:rPr>
      </w:pPr>
      <w:r w:rsidRPr="001444BA">
        <w:rPr>
          <w:rFonts w:ascii="Times New Roman" w:hAnsi="Times New Roman" w:cs="Times New Roman"/>
          <w:b/>
          <w:bCs/>
          <w:sz w:val="20"/>
          <w:szCs w:val="20"/>
        </w:rPr>
        <w:t>Abstract</w:t>
      </w:r>
    </w:p>
    <w:p w:rsidR="001753CA" w:rsidRPr="001444BA" w:rsidRDefault="001753CA" w:rsidP="001753CA">
      <w:pPr>
        <w:spacing w:line="240" w:lineRule="auto"/>
        <w:jc w:val="both"/>
        <w:rPr>
          <w:rFonts w:ascii="Times New Roman" w:hAnsi="Times New Roman" w:cs="Times New Roman"/>
          <w:i/>
          <w:iCs/>
          <w:sz w:val="20"/>
          <w:szCs w:val="20"/>
        </w:rPr>
      </w:pPr>
      <w:r w:rsidRPr="001444BA">
        <w:rPr>
          <w:rFonts w:ascii="Times New Roman" w:hAnsi="Times New Roman" w:cs="Times New Roman"/>
          <w:i/>
          <w:iCs/>
          <w:sz w:val="20"/>
          <w:szCs w:val="20"/>
        </w:rPr>
        <w:t xml:space="preserve">The full-scale Russian invasion of Ukraine in February 2022 renewed long-standing questions about the capacity of the United Nations (UN) to mediate conflicts in which a permanent member of the Security Council is a belligerent party. This article critically appraises the structural conditions principally, the Article 27(3) veto arrangement that have conditioned the UN's ability, or inability, to act as a credible and influential mediator in the Russian-Ukrainian war. Drawing on a qualitative, desk-based review of UN documents, Security Council and General Assembly records, and scholarly literature published between 2021 and 2025, the study traces how Russia's veto neutralised the Security Council, how procedural workarounds such as the Uniting-for-Peace mechanism and the Secretary-General's good offices offered only symbolic redress, and how China's ambiguous positioning further diluted collective action. The analysis situates these findings within Liberal </w:t>
      </w:r>
      <w:proofErr w:type="spellStart"/>
      <w:r w:rsidRPr="001444BA">
        <w:rPr>
          <w:rFonts w:ascii="Times New Roman" w:hAnsi="Times New Roman" w:cs="Times New Roman"/>
          <w:i/>
          <w:iCs/>
          <w:sz w:val="20"/>
          <w:szCs w:val="20"/>
        </w:rPr>
        <w:t>Institutionalist</w:t>
      </w:r>
      <w:proofErr w:type="spellEnd"/>
      <w:r w:rsidRPr="001444BA">
        <w:rPr>
          <w:rFonts w:ascii="Times New Roman" w:hAnsi="Times New Roman" w:cs="Times New Roman"/>
          <w:i/>
          <w:iCs/>
          <w:sz w:val="20"/>
          <w:szCs w:val="20"/>
        </w:rPr>
        <w:t>, Constructivist, and Realist readings of international organisation. It concludes that the veto system, designed to secure great-power participation in the UN rather than to constrain it, produces a structural ceiling on mediation that issue-specific diplomacy illustrated by the short-lived Black Sea Grain Initiative can only partially offset. The article recommends a voluntary code restraining veto use in cases of mass atrocity and clear aggression, alongside an expanded and consistently exercised good-offices role for the Secretary-General under Article 99.</w:t>
      </w:r>
    </w:p>
    <w:p w:rsidR="00A4768C" w:rsidRPr="00A4768C" w:rsidRDefault="001753CA" w:rsidP="001753CA">
      <w:pPr>
        <w:spacing w:after="300" w:line="360" w:lineRule="auto"/>
        <w:jc w:val="both"/>
        <w:rPr>
          <w:rFonts w:ascii="Times New Roman" w:hAnsi="Times New Roman" w:cs="Times New Roman"/>
          <w:b/>
          <w:sz w:val="20"/>
          <w:szCs w:val="20"/>
        </w:rPr>
      </w:pPr>
      <w:r w:rsidRPr="001444BA">
        <w:rPr>
          <w:rFonts w:ascii="Times New Roman" w:hAnsi="Times New Roman" w:cs="Times New Roman"/>
          <w:b/>
          <w:bCs/>
          <w:sz w:val="20"/>
          <w:szCs w:val="20"/>
        </w:rPr>
        <w:t xml:space="preserve">Keywords: </w:t>
      </w:r>
      <w:r w:rsidRPr="001444BA">
        <w:rPr>
          <w:rFonts w:ascii="Times New Roman" w:hAnsi="Times New Roman" w:cs="Times New Roman"/>
          <w:sz w:val="20"/>
          <w:szCs w:val="20"/>
        </w:rPr>
        <w:t>United Nations, Security Council veto, mediation, Russian-Ukrainian war, great-</w:t>
      </w:r>
      <w:proofErr w:type="gramStart"/>
      <w:r w:rsidRPr="001444BA">
        <w:rPr>
          <w:rFonts w:ascii="Times New Roman" w:hAnsi="Times New Roman" w:cs="Times New Roman"/>
          <w:sz w:val="20"/>
          <w:szCs w:val="20"/>
        </w:rPr>
        <w:t>power</w:t>
      </w:r>
      <w:proofErr w:type="gramEnd"/>
      <w:r w:rsidRPr="001444BA">
        <w:rPr>
          <w:rFonts w:ascii="Times New Roman" w:hAnsi="Times New Roman" w:cs="Times New Roman"/>
          <w:sz w:val="20"/>
          <w:szCs w:val="20"/>
        </w:rPr>
        <w:t xml:space="preserve"> conflict</w:t>
      </w:r>
    </w:p>
    <w:p w:rsidR="00DD7C28" w:rsidRPr="00D851A4" w:rsidRDefault="00DD7C28" w:rsidP="00D851A4">
      <w:pPr>
        <w:spacing w:before="100" w:beforeAutospacing="1" w:after="100" w:afterAutospacing="1" w:line="276" w:lineRule="auto"/>
        <w:jc w:val="both"/>
        <w:rPr>
          <w:rFonts w:ascii="Times New Roman" w:eastAsia="Times New Roman" w:hAnsi="Times New Roman" w:cs="Times New Roman"/>
          <w:i/>
          <w:sz w:val="20"/>
          <w:szCs w:val="20"/>
        </w:rPr>
        <w:sectPr w:rsidR="00DD7C28" w:rsidRPr="00D851A4" w:rsidSect="00741AD2">
          <w:headerReference w:type="default" r:id="rId9"/>
          <w:footerReference w:type="even" r:id="rId10"/>
          <w:footerReference w:type="default" r:id="rId11"/>
          <w:pgSz w:w="9639" w:h="13608" w:code="9"/>
          <w:pgMar w:top="1077" w:right="729" w:bottom="2155" w:left="990" w:header="709" w:footer="288" w:gutter="0"/>
          <w:pgBorders w:offsetFrom="page">
            <w:top w:val="single" w:sz="4" w:space="24" w:color="auto"/>
            <w:left w:val="single" w:sz="4" w:space="24" w:color="auto"/>
            <w:bottom w:val="single" w:sz="4" w:space="24" w:color="auto"/>
            <w:right w:val="single" w:sz="4" w:space="24" w:color="auto"/>
          </w:pgBorders>
          <w:pgNumType w:start="171" w:chapStyle="1"/>
          <w:cols w:space="288"/>
          <w:docGrid w:linePitch="360"/>
        </w:sectPr>
      </w:pPr>
    </w:p>
    <w:p w:rsidR="001753CA" w:rsidRPr="001444BA" w:rsidRDefault="001753CA" w:rsidP="001753CA">
      <w:pPr>
        <w:pStyle w:val="Heading1"/>
        <w:spacing w:after="160" w:line="276" w:lineRule="auto"/>
        <w:jc w:val="both"/>
        <w:rPr>
          <w:b w:val="0"/>
          <w:bCs/>
          <w:color w:val="auto"/>
          <w:sz w:val="20"/>
          <w:szCs w:val="20"/>
        </w:rPr>
      </w:pPr>
      <w:r w:rsidRPr="001444BA">
        <w:rPr>
          <w:bCs/>
          <w:color w:val="auto"/>
          <w:sz w:val="20"/>
          <w:szCs w:val="20"/>
        </w:rPr>
        <w:lastRenderedPageBreak/>
        <w:t>Introduction</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Since its founding, the United Nations has carried a dual mandate to maintain international peace and security and to settle disputes by peaceful means (United Nations, 1945, Article 1). Mediation, understood as the intervention of a neutral third party that helps disputants reach a voluntary settlement without imposing one, has long been among the instruments through which the Organisation pursues this mandate (</w:t>
      </w:r>
      <w:proofErr w:type="spellStart"/>
      <w:r w:rsidRPr="001444BA">
        <w:rPr>
          <w:rFonts w:ascii="Times New Roman" w:hAnsi="Times New Roman" w:cs="Times New Roman"/>
          <w:sz w:val="20"/>
          <w:szCs w:val="20"/>
        </w:rPr>
        <w:t>Unufe</w:t>
      </w:r>
      <w:proofErr w:type="spellEnd"/>
      <w:r w:rsidRPr="001444BA">
        <w:rPr>
          <w:rFonts w:ascii="Times New Roman" w:hAnsi="Times New Roman" w:cs="Times New Roman"/>
          <w:sz w:val="20"/>
          <w:szCs w:val="20"/>
        </w:rPr>
        <w:t>, 2024). Yet the Russian Federation's full-scale invasion of Ukraine on 24 February 2022 exposed, more starkly than any crisis since the end of the Cold War, the structural fault line that runs through the UN's collective-security architecture: the veto power reserved to the five permanent members (P5) of the Security Council (</w:t>
      </w:r>
      <w:proofErr w:type="spell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2022; Peters, 2023).</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Within a day of the invasion, a Security Council resolution demanding an immediate cessation of hostilities and withdrawal of Russian forces was supported by eleven of fifteen members but was defeated by a single Russian veto (UN Security Council, 2022a). The episode was not an isolated procedural anomaly; it was the clearest possible demonstration that the Council's design privileges great-power consent over collective enforcement whenever a permanent member is itself the aggressor (</w:t>
      </w:r>
      <w:proofErr w:type="spellStart"/>
      <w:r w:rsidRPr="001444BA">
        <w:rPr>
          <w:rFonts w:ascii="Times New Roman" w:hAnsi="Times New Roman" w:cs="Times New Roman"/>
          <w:sz w:val="20"/>
          <w:szCs w:val="20"/>
        </w:rPr>
        <w:t>Setiawan</w:t>
      </w:r>
      <w:proofErr w:type="spellEnd"/>
      <w:r w:rsidRPr="001444BA">
        <w:rPr>
          <w:rFonts w:ascii="Times New Roman" w:hAnsi="Times New Roman" w:cs="Times New Roman"/>
          <w:sz w:val="20"/>
          <w:szCs w:val="20"/>
        </w:rPr>
        <w:t xml:space="preserve">, 2024). The General Assembly's subsequent recourse to the 1950 Uniting-for-Peace procedure, resulting in resolution A/RES/ES-11/1, and the Secretary-General's shuttle diplomacy and good offices under Article 99, each represented attempts to compensate for </w:t>
      </w:r>
      <w:r w:rsidRPr="001444BA">
        <w:rPr>
          <w:rFonts w:ascii="Times New Roman" w:hAnsi="Times New Roman" w:cs="Times New Roman"/>
          <w:sz w:val="20"/>
          <w:szCs w:val="20"/>
        </w:rPr>
        <w:lastRenderedPageBreak/>
        <w:t>Council paralysis but neither carried enforceable weight (</w:t>
      </w:r>
      <w:proofErr w:type="spellStart"/>
      <w:r w:rsidRPr="001444BA">
        <w:rPr>
          <w:rFonts w:ascii="Times New Roman" w:hAnsi="Times New Roman" w:cs="Times New Roman"/>
          <w:sz w:val="20"/>
          <w:szCs w:val="20"/>
        </w:rPr>
        <w:t>Kostakos</w:t>
      </w:r>
      <w:proofErr w:type="spellEnd"/>
      <w:r w:rsidRPr="001444BA">
        <w:rPr>
          <w:rFonts w:ascii="Times New Roman" w:hAnsi="Times New Roman" w:cs="Times New Roman"/>
          <w:sz w:val="20"/>
          <w:szCs w:val="20"/>
        </w:rPr>
        <w:t xml:space="preserve">, 2023; </w:t>
      </w:r>
      <w:proofErr w:type="spell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w:t>
      </w:r>
      <w:proofErr w:type="spellStart"/>
      <w:r w:rsidRPr="001444BA">
        <w:rPr>
          <w:rFonts w:ascii="Times New Roman" w:hAnsi="Times New Roman" w:cs="Times New Roman"/>
          <w:sz w:val="20"/>
          <w:szCs w:val="20"/>
        </w:rPr>
        <w:t>Esekumenu</w:t>
      </w:r>
      <w:proofErr w:type="spellEnd"/>
      <w:r w:rsidRPr="001444BA">
        <w:rPr>
          <w:rFonts w:ascii="Times New Roman" w:hAnsi="Times New Roman" w:cs="Times New Roman"/>
          <w:sz w:val="20"/>
          <w:szCs w:val="20"/>
        </w:rPr>
        <w:t xml:space="preserve">, &amp; </w:t>
      </w:r>
      <w:proofErr w:type="spellStart"/>
      <w:r w:rsidRPr="001444BA">
        <w:rPr>
          <w:rFonts w:ascii="Times New Roman" w:hAnsi="Times New Roman" w:cs="Times New Roman"/>
          <w:sz w:val="20"/>
          <w:szCs w:val="20"/>
        </w:rPr>
        <w:t>Sanubi</w:t>
      </w:r>
      <w:proofErr w:type="spellEnd"/>
      <w:r w:rsidRPr="001444BA">
        <w:rPr>
          <w:rFonts w:ascii="Times New Roman" w:hAnsi="Times New Roman" w:cs="Times New Roman"/>
          <w:sz w:val="20"/>
          <w:szCs w:val="20"/>
        </w:rPr>
        <w:t>, 2024).</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This article addresses the first objective identified in the broader appraisal of UN mediation in the Russian-Ukrainian war: to assess the structural conditions principally, the Security Council veto system that have conditioned the Organisation's ability or inability to act as a credible and influential mediator in a conflict involving one of its own permanent members. The guiding research question is: what structural conditions have shaped the UN's capacity, or incapacity, to mediate credibly in the Russian-Ukrainian war, and what do these conditions imply for the reform of multilateral conflict-resolution mechanisms? In pursuing this question, the article contributes a focused, theoretically grounded account of institutional design failure that complements the broader literature on UN effectiveness in the Ukraine conflict (Smith &amp; Dawson, 2022; </w:t>
      </w:r>
      <w:proofErr w:type="spellStart"/>
      <w:r w:rsidRPr="001444BA">
        <w:rPr>
          <w:rFonts w:ascii="Times New Roman" w:hAnsi="Times New Roman" w:cs="Times New Roman"/>
          <w:sz w:val="20"/>
          <w:szCs w:val="20"/>
        </w:rPr>
        <w:t>Kostakos</w:t>
      </w:r>
      <w:proofErr w:type="spellEnd"/>
      <w:r w:rsidRPr="001444BA">
        <w:rPr>
          <w:rFonts w:ascii="Times New Roman" w:hAnsi="Times New Roman" w:cs="Times New Roman"/>
          <w:sz w:val="20"/>
          <w:szCs w:val="20"/>
        </w:rPr>
        <w:t xml:space="preserve">, 2023; </w:t>
      </w:r>
      <w:proofErr w:type="spellStart"/>
      <w:r w:rsidRPr="001444BA">
        <w:rPr>
          <w:rFonts w:ascii="Times New Roman" w:hAnsi="Times New Roman" w:cs="Times New Roman"/>
          <w:sz w:val="20"/>
          <w:szCs w:val="20"/>
        </w:rPr>
        <w:t>Unufe</w:t>
      </w:r>
      <w:proofErr w:type="spellEnd"/>
      <w:r w:rsidRPr="001444BA">
        <w:rPr>
          <w:rFonts w:ascii="Times New Roman" w:hAnsi="Times New Roman" w:cs="Times New Roman"/>
          <w:sz w:val="20"/>
          <w:szCs w:val="20"/>
        </w:rPr>
        <w:t>, 2024).</w:t>
      </w:r>
    </w:p>
    <w:p w:rsidR="001753CA" w:rsidRPr="001444BA" w:rsidRDefault="001753CA" w:rsidP="001753CA">
      <w:pPr>
        <w:pStyle w:val="Heading1"/>
        <w:spacing w:after="160" w:line="276" w:lineRule="auto"/>
        <w:jc w:val="both"/>
        <w:rPr>
          <w:b w:val="0"/>
          <w:bCs/>
          <w:color w:val="auto"/>
          <w:sz w:val="20"/>
          <w:szCs w:val="20"/>
        </w:rPr>
      </w:pPr>
      <w:r w:rsidRPr="001444BA">
        <w:rPr>
          <w:bCs/>
          <w:color w:val="auto"/>
          <w:sz w:val="20"/>
          <w:szCs w:val="20"/>
        </w:rPr>
        <w:t>Conceptual and Theoretical Framework</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Mediation in international relations is distinguished from arbitration and adjudication by its non-binding, facilitative character; the mediator—ranging from "a humble facilitator to a powerful proponent of a settlement" (</w:t>
      </w:r>
      <w:proofErr w:type="spellStart"/>
      <w:r w:rsidRPr="001444BA">
        <w:rPr>
          <w:rFonts w:ascii="Times New Roman" w:hAnsi="Times New Roman" w:cs="Times New Roman"/>
          <w:sz w:val="20"/>
          <w:szCs w:val="20"/>
        </w:rPr>
        <w:t>Zartman</w:t>
      </w:r>
      <w:proofErr w:type="spellEnd"/>
      <w:r w:rsidRPr="001444BA">
        <w:rPr>
          <w:rFonts w:ascii="Times New Roman" w:hAnsi="Times New Roman" w:cs="Times New Roman"/>
          <w:sz w:val="20"/>
          <w:szCs w:val="20"/>
        </w:rPr>
        <w:t xml:space="preserve">, 2008, p. 11)—helps parties define terms of settlement rather than imposing them. Effective mediation typically depends on the mediator's perceived impartiality and authority, on the timing of intervention relative to the parties' cost-benefit calculations, and, critically, on the </w:t>
      </w:r>
      <w:r w:rsidRPr="001444BA">
        <w:rPr>
          <w:rFonts w:ascii="Times New Roman" w:hAnsi="Times New Roman" w:cs="Times New Roman"/>
          <w:sz w:val="20"/>
          <w:szCs w:val="20"/>
        </w:rPr>
        <w:lastRenderedPageBreak/>
        <w:t>presence of a "mutually hurting stalemate" that makes negotiated settlement more attractive than continued conflict (</w:t>
      </w:r>
      <w:proofErr w:type="spellStart"/>
      <w:r w:rsidRPr="001444BA">
        <w:rPr>
          <w:rFonts w:ascii="Times New Roman" w:hAnsi="Times New Roman" w:cs="Times New Roman"/>
          <w:sz w:val="20"/>
          <w:szCs w:val="20"/>
        </w:rPr>
        <w:t>Zartman</w:t>
      </w:r>
      <w:proofErr w:type="spellEnd"/>
      <w:r w:rsidRPr="001444BA">
        <w:rPr>
          <w:rFonts w:ascii="Times New Roman" w:hAnsi="Times New Roman" w:cs="Times New Roman"/>
          <w:sz w:val="20"/>
          <w:szCs w:val="20"/>
        </w:rPr>
        <w:t xml:space="preserve"> &amp; </w:t>
      </w:r>
      <w:proofErr w:type="spellStart"/>
      <w:r w:rsidRPr="001444BA">
        <w:rPr>
          <w:rFonts w:ascii="Times New Roman" w:hAnsi="Times New Roman" w:cs="Times New Roman"/>
          <w:sz w:val="20"/>
          <w:szCs w:val="20"/>
        </w:rPr>
        <w:t>Touval</w:t>
      </w:r>
      <w:proofErr w:type="spellEnd"/>
      <w:r w:rsidRPr="001444BA">
        <w:rPr>
          <w:rFonts w:ascii="Times New Roman" w:hAnsi="Times New Roman" w:cs="Times New Roman"/>
          <w:sz w:val="20"/>
          <w:szCs w:val="20"/>
        </w:rPr>
        <w:t>, 2022). None of these facilitating conditions has been reliably present in the Russian-Ukrainian war, a fact that helps explain, independently of institutional design, why third-party mediation of any kind has struggled to gain traction (</w:t>
      </w:r>
      <w:proofErr w:type="spellStart"/>
      <w:r w:rsidRPr="001444BA">
        <w:rPr>
          <w:rFonts w:ascii="Times New Roman" w:hAnsi="Times New Roman" w:cs="Times New Roman"/>
          <w:sz w:val="20"/>
          <w:szCs w:val="20"/>
        </w:rPr>
        <w:t>Greig</w:t>
      </w:r>
      <w:proofErr w:type="spellEnd"/>
      <w:r w:rsidRPr="001444BA">
        <w:rPr>
          <w:rFonts w:ascii="Times New Roman" w:hAnsi="Times New Roman" w:cs="Times New Roman"/>
          <w:sz w:val="20"/>
          <w:szCs w:val="20"/>
        </w:rPr>
        <w:t xml:space="preserve"> &amp; Diehl, 2023).</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This article draws on three complementary theoretical lenses. Liberal Institutionalism holds that international institutions such as the UN reduce uncertainty and facilitate cooperation through rules, monitoring, and issue-linkage, thereby shaping state behaviour even amid rivalry (</w:t>
      </w:r>
      <w:proofErr w:type="spellStart"/>
      <w:r w:rsidRPr="001444BA">
        <w:rPr>
          <w:rFonts w:ascii="Times New Roman" w:hAnsi="Times New Roman" w:cs="Times New Roman"/>
          <w:sz w:val="20"/>
          <w:szCs w:val="20"/>
        </w:rPr>
        <w:t>Keohane</w:t>
      </w:r>
      <w:proofErr w:type="spellEnd"/>
      <w:r w:rsidRPr="001444BA">
        <w:rPr>
          <w:rFonts w:ascii="Times New Roman" w:hAnsi="Times New Roman" w:cs="Times New Roman"/>
          <w:sz w:val="20"/>
          <w:szCs w:val="20"/>
        </w:rPr>
        <w:t xml:space="preserve"> &amp; Martin, 2023). Constructivism directs attention to the UN's role in constituting and diffusing norms sovereignty, territorial integrity, and the prohibition of aggression—that constrain the discursive space within which even non-complying states must operate (Wendt, 1999; Smith &amp; Dawson, 2022). Realism, by contrast, treats international organisations as instruments of, and constrained by, great-power interest, with the Security Council's design read as a direct codification of the post-1945 power hierarchy (</w:t>
      </w:r>
      <w:proofErr w:type="spellStart"/>
      <w:r w:rsidRPr="001444BA">
        <w:rPr>
          <w:rFonts w:ascii="Times New Roman" w:hAnsi="Times New Roman" w:cs="Times New Roman"/>
          <w:sz w:val="20"/>
          <w:szCs w:val="20"/>
        </w:rPr>
        <w:t>Mearsheimer</w:t>
      </w:r>
      <w:proofErr w:type="spellEnd"/>
      <w:r w:rsidRPr="001444BA">
        <w:rPr>
          <w:rFonts w:ascii="Times New Roman" w:hAnsi="Times New Roman" w:cs="Times New Roman"/>
          <w:sz w:val="20"/>
          <w:szCs w:val="20"/>
        </w:rPr>
        <w:t xml:space="preserve">, 2018). Applied jointly, these frameworks explain both why the Security Council was structurally incapable of authorising coercive mediation against Russia (a Realist reading) and why the General Assembly's non-binding resolutions and the Secretary-General's normative interventions nonetheless retained diplomatic and legal significance (Liberal </w:t>
      </w:r>
      <w:proofErr w:type="spellStart"/>
      <w:r w:rsidRPr="001444BA">
        <w:rPr>
          <w:rFonts w:ascii="Times New Roman" w:hAnsi="Times New Roman" w:cs="Times New Roman"/>
          <w:sz w:val="20"/>
          <w:szCs w:val="20"/>
        </w:rPr>
        <w:t>Institutionalist</w:t>
      </w:r>
      <w:proofErr w:type="spellEnd"/>
      <w:r w:rsidRPr="001444BA">
        <w:rPr>
          <w:rFonts w:ascii="Times New Roman" w:hAnsi="Times New Roman" w:cs="Times New Roman"/>
          <w:sz w:val="20"/>
          <w:szCs w:val="20"/>
        </w:rPr>
        <w:t xml:space="preserve"> and Constructivist readings).</w:t>
      </w:r>
    </w:p>
    <w:p w:rsidR="001753CA" w:rsidRPr="001444BA" w:rsidRDefault="001753CA" w:rsidP="001753CA">
      <w:pPr>
        <w:pStyle w:val="Heading1"/>
        <w:spacing w:after="160" w:line="276" w:lineRule="auto"/>
        <w:jc w:val="both"/>
        <w:rPr>
          <w:b w:val="0"/>
          <w:bCs/>
          <w:color w:val="auto"/>
          <w:sz w:val="20"/>
          <w:szCs w:val="20"/>
        </w:rPr>
      </w:pPr>
      <w:r w:rsidRPr="001444BA">
        <w:rPr>
          <w:bCs/>
          <w:color w:val="auto"/>
          <w:sz w:val="20"/>
          <w:szCs w:val="20"/>
        </w:rPr>
        <w:lastRenderedPageBreak/>
        <w:t>Literature Review</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The historical record of UN mediation shows a consistent pattern: the Organisation has mediated successfully in conflicts such as the Iran-Iraq War, the 1991 Paris Peace Accords on Cambodia, and the 1992 Chapultepec Accords ending the Salvadoran civil war, but in each of these cases great powers were either absent from the dispute or united in support of a settlement (</w:t>
      </w:r>
      <w:proofErr w:type="spell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xml:space="preserve">, 2022; </w:t>
      </w:r>
      <w:proofErr w:type="spell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et al., 2024). Conversely, in Syria and now Ukraine, the presence of a veto-wielding power as a direct or allied party has produced Council deadlock and reduced UN mediation to symbolic gestures (</w:t>
      </w:r>
      <w:proofErr w:type="spellStart"/>
      <w:r w:rsidRPr="001444BA">
        <w:rPr>
          <w:rFonts w:ascii="Times New Roman" w:hAnsi="Times New Roman" w:cs="Times New Roman"/>
          <w:sz w:val="20"/>
          <w:szCs w:val="20"/>
        </w:rPr>
        <w:t>Kostakos</w:t>
      </w:r>
      <w:proofErr w:type="spellEnd"/>
      <w:r w:rsidRPr="001444BA">
        <w:rPr>
          <w:rFonts w:ascii="Times New Roman" w:hAnsi="Times New Roman" w:cs="Times New Roman"/>
          <w:sz w:val="20"/>
          <w:szCs w:val="20"/>
        </w:rPr>
        <w:t>, 2023).</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A growing body of post-2022 scholarship converges on the proposition that the veto is the single most decisive structural constraint on UN mediation in the Russian-Ukrainian war. </w:t>
      </w:r>
      <w:proofErr w:type="spell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xml:space="preserve"> (2022) and Peters (2023) both argue that the P5 arrangement, designed for consensus-based decision-making, becomes self-defeating once a permanent member is itself the disputing party, since the same instrument intended to secure great-power buy-in to the UN system also immunises that power from enforcement action. </w:t>
      </w:r>
      <w:proofErr w:type="spell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w:t>
      </w:r>
      <w:proofErr w:type="spellStart"/>
      <w:r w:rsidRPr="001444BA">
        <w:rPr>
          <w:rFonts w:ascii="Times New Roman" w:hAnsi="Times New Roman" w:cs="Times New Roman"/>
          <w:sz w:val="20"/>
          <w:szCs w:val="20"/>
        </w:rPr>
        <w:t>Esekumenu</w:t>
      </w:r>
      <w:proofErr w:type="spellEnd"/>
      <w:r w:rsidRPr="001444BA">
        <w:rPr>
          <w:rFonts w:ascii="Times New Roman" w:hAnsi="Times New Roman" w:cs="Times New Roman"/>
          <w:sz w:val="20"/>
          <w:szCs w:val="20"/>
        </w:rPr>
        <w:t xml:space="preserve"> and </w:t>
      </w:r>
      <w:proofErr w:type="spellStart"/>
      <w:r w:rsidRPr="001444BA">
        <w:rPr>
          <w:rFonts w:ascii="Times New Roman" w:hAnsi="Times New Roman" w:cs="Times New Roman"/>
          <w:sz w:val="20"/>
          <w:szCs w:val="20"/>
        </w:rPr>
        <w:t>Sanubi</w:t>
      </w:r>
      <w:proofErr w:type="spellEnd"/>
      <w:r w:rsidRPr="001444BA">
        <w:rPr>
          <w:rFonts w:ascii="Times New Roman" w:hAnsi="Times New Roman" w:cs="Times New Roman"/>
          <w:sz w:val="20"/>
          <w:szCs w:val="20"/>
        </w:rPr>
        <w:t xml:space="preserve"> (2024) extend this analysis by documenting how procedural workarounds the Uniting-for-Peace mechanism and the Secretary-General's good offices produced diplomatic censure without material consequence for Russian conduct. </w:t>
      </w:r>
      <w:proofErr w:type="spellStart"/>
      <w:r w:rsidRPr="001444BA">
        <w:rPr>
          <w:rFonts w:ascii="Times New Roman" w:hAnsi="Times New Roman" w:cs="Times New Roman"/>
          <w:sz w:val="20"/>
          <w:szCs w:val="20"/>
        </w:rPr>
        <w:t>Bramsen</w:t>
      </w:r>
      <w:proofErr w:type="spellEnd"/>
      <w:r w:rsidRPr="001444BA">
        <w:rPr>
          <w:rFonts w:ascii="Times New Roman" w:hAnsi="Times New Roman" w:cs="Times New Roman"/>
          <w:sz w:val="20"/>
          <w:szCs w:val="20"/>
        </w:rPr>
        <w:t xml:space="preserve"> and </w:t>
      </w:r>
      <w:proofErr w:type="spellStart"/>
      <w:r w:rsidRPr="001444BA">
        <w:rPr>
          <w:rFonts w:ascii="Times New Roman" w:hAnsi="Times New Roman" w:cs="Times New Roman"/>
          <w:sz w:val="20"/>
          <w:szCs w:val="20"/>
        </w:rPr>
        <w:t>Svensson</w:t>
      </w:r>
      <w:proofErr w:type="spellEnd"/>
      <w:r w:rsidRPr="001444BA">
        <w:rPr>
          <w:rFonts w:ascii="Times New Roman" w:hAnsi="Times New Roman" w:cs="Times New Roman"/>
          <w:sz w:val="20"/>
          <w:szCs w:val="20"/>
        </w:rPr>
        <w:t xml:space="preserve"> (2024) and the World Food Programme (2023) offer contrasting readings of the Black Sea Grain Initiative (BSGI) as, respectively, a politically </w:t>
      </w:r>
      <w:r w:rsidRPr="001444BA">
        <w:rPr>
          <w:rFonts w:ascii="Times New Roman" w:hAnsi="Times New Roman" w:cs="Times New Roman"/>
          <w:sz w:val="20"/>
          <w:szCs w:val="20"/>
        </w:rPr>
        <w:lastRenderedPageBreak/>
        <w:t>contingent arrangement and a genuine humanitarian success, but agree that its collapse in July 2023 demonstrated that even the UN's most tangible achievement in the conflict remained hostage to the unilateral will of a single great power.</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A smaller strand of the literature situates the veto debate within broader institutional-reform proposals. Peters (2023) and the Accountability, Coherence and Transparency (ACT) Group's voluntary code of conduct on veto restraint in mass-atrocity situations are frequently cited as the most feasible near-term reform, since they do not require Charter amendment (</w:t>
      </w:r>
      <w:proofErr w:type="spellStart"/>
      <w:r w:rsidRPr="001444BA">
        <w:rPr>
          <w:rFonts w:ascii="Times New Roman" w:hAnsi="Times New Roman" w:cs="Times New Roman"/>
          <w:sz w:val="20"/>
          <w:szCs w:val="20"/>
        </w:rPr>
        <w:t>Kubko</w:t>
      </w:r>
      <w:proofErr w:type="spellEnd"/>
      <w:r w:rsidRPr="001444BA">
        <w:rPr>
          <w:rFonts w:ascii="Times New Roman" w:hAnsi="Times New Roman" w:cs="Times New Roman"/>
          <w:sz w:val="20"/>
          <w:szCs w:val="20"/>
        </w:rPr>
        <w:t>, 2025; Ziegler, 2025). Weiss and Daws (2018), writing on "adaptive multilateralism," caution, however, that structural reform alone cannot resolve the deeper problem that the Security Council's authority ultimately rests on great-power consent that cannot be legislated away. This article builds on these debates by offering a focused analysis of how the veto's structural logic played out mechanically across the Security Council, the General Assembly, and the Secretary-General's office in the specific case of the Russian-Ukrainian war.</w:t>
      </w:r>
    </w:p>
    <w:p w:rsidR="001753CA" w:rsidRPr="001444BA" w:rsidRDefault="001753CA" w:rsidP="001753CA">
      <w:pPr>
        <w:pStyle w:val="Heading1"/>
        <w:spacing w:after="160" w:line="276" w:lineRule="auto"/>
        <w:jc w:val="both"/>
        <w:rPr>
          <w:b w:val="0"/>
          <w:bCs/>
          <w:color w:val="auto"/>
          <w:sz w:val="20"/>
          <w:szCs w:val="20"/>
        </w:rPr>
      </w:pPr>
      <w:r w:rsidRPr="001444BA">
        <w:rPr>
          <w:bCs/>
          <w:color w:val="auto"/>
          <w:sz w:val="20"/>
          <w:szCs w:val="20"/>
        </w:rPr>
        <w:t>Methodology</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The study adopts a qualitative, non-empirical, desk-based research design appropriate to a topic—the institutional behaviour of an international organisation amid an active, high-intensity conflict that is not amenable to interviews or field data collection (</w:t>
      </w:r>
      <w:proofErr w:type="spell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et al., 2024). Data were drawn from official UN sources (Security Council and General Assembly records, including resolution </w:t>
      </w:r>
      <w:r w:rsidRPr="001444BA">
        <w:rPr>
          <w:rFonts w:ascii="Times New Roman" w:hAnsi="Times New Roman" w:cs="Times New Roman"/>
          <w:sz w:val="20"/>
          <w:szCs w:val="20"/>
        </w:rPr>
        <w:lastRenderedPageBreak/>
        <w:t>A/RES/ES-11/1 and UN Security Council resolution S/RES/2202), Secretary-General statements, reports of the Independent International Commission of Inquiry on Ukraine, and peer-reviewed and policy literature published between 2021 and 2025, retrieved through JSTOR, Scopus, and Google Scholar together with the UN Digital Library. A systematic document review was conducted using search terms including "UN mediation Ukraine," "Security Council veto Ukraine," and "United Nations Russian-Ukrainian war." Materials were analysed thematically to identify the structural conditions bearing on UN mediation capacity, supplemented by historical-contextual analysis to situate the Security Council's response within the wider trajectory of UN mediation practice since 1945.</w:t>
      </w:r>
    </w:p>
    <w:p w:rsidR="001753CA" w:rsidRPr="001444BA" w:rsidRDefault="001753CA" w:rsidP="001753CA">
      <w:pPr>
        <w:pStyle w:val="Heading1"/>
        <w:spacing w:after="160" w:line="276" w:lineRule="auto"/>
        <w:jc w:val="both"/>
        <w:rPr>
          <w:b w:val="0"/>
          <w:bCs/>
          <w:color w:val="auto"/>
          <w:sz w:val="20"/>
          <w:szCs w:val="20"/>
        </w:rPr>
      </w:pPr>
      <w:r w:rsidRPr="001444BA">
        <w:rPr>
          <w:bCs/>
          <w:color w:val="auto"/>
          <w:sz w:val="20"/>
          <w:szCs w:val="20"/>
        </w:rPr>
        <w:t>Structural Conditions and the Paralysis of UN Mediation</w:t>
      </w:r>
    </w:p>
    <w:p w:rsidR="001753CA" w:rsidRPr="001444BA" w:rsidRDefault="001753CA" w:rsidP="001753CA">
      <w:pPr>
        <w:pStyle w:val="Heading2"/>
        <w:spacing w:after="120" w:line="276" w:lineRule="auto"/>
        <w:jc w:val="both"/>
        <w:rPr>
          <w:rFonts w:ascii="Times New Roman" w:hAnsi="Times New Roman" w:cs="Times New Roman"/>
          <w:b w:val="0"/>
          <w:bCs w:val="0"/>
          <w:color w:val="auto"/>
          <w:sz w:val="20"/>
          <w:szCs w:val="20"/>
        </w:rPr>
      </w:pPr>
      <w:r w:rsidRPr="001444BA">
        <w:rPr>
          <w:rFonts w:ascii="Times New Roman" w:hAnsi="Times New Roman" w:cs="Times New Roman"/>
          <w:color w:val="auto"/>
          <w:sz w:val="20"/>
          <w:szCs w:val="20"/>
        </w:rPr>
        <w:t>The Veto as the Primary Structural Constraint</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Article 27(3) of the UN Charter requires that decisions of the Security Council on non-procedural matters be made with the concurring votes of all five permanent members, a provision that operates as an absolute veto for any P5 state that is party to, or allied with a party to, a dispute. When Russia invaded Ukraine on 24 February 2022, this provision meant that any resolution condemning the invasion or authorising a Council-led response was, as a matter of institutional design rather than political contingency, doomed before it was drafted. The Council's emergency session of 25 </w:t>
      </w:r>
      <w:r w:rsidRPr="001444BA">
        <w:rPr>
          <w:rFonts w:ascii="Times New Roman" w:hAnsi="Times New Roman" w:cs="Times New Roman"/>
          <w:sz w:val="20"/>
          <w:szCs w:val="20"/>
        </w:rPr>
        <w:lastRenderedPageBreak/>
        <w:t xml:space="preserve">February 2022 supplied the empirical proof: eleven states supported a resolution demanding an immediate halt to hostilities and troop withdrawal, three abstained (China, India, and the United Arab Emirates), and Russia alone cast the decisive veto (UN Security Council, 2022a). The outcome converted the Council, in </w:t>
      </w:r>
      <w:proofErr w:type="spellStart"/>
      <w:r w:rsidRPr="001444BA">
        <w:rPr>
          <w:rFonts w:ascii="Times New Roman" w:hAnsi="Times New Roman" w:cs="Times New Roman"/>
          <w:sz w:val="20"/>
          <w:szCs w:val="20"/>
        </w:rPr>
        <w:t>Setiawan's</w:t>
      </w:r>
      <w:proofErr w:type="spellEnd"/>
      <w:r w:rsidRPr="001444BA">
        <w:rPr>
          <w:rFonts w:ascii="Times New Roman" w:hAnsi="Times New Roman" w:cs="Times New Roman"/>
          <w:sz w:val="20"/>
          <w:szCs w:val="20"/>
        </w:rPr>
        <w:t xml:space="preserve"> (2024) phrase, from an instrument of conflict management into a site of "political football."</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The significance of this episode extends beyond its immediate outcome. It confirmed, first, that no Council-authorised measure whether sanctions, a peacekeeping deployment, or a mandate for mediation could be adopted against a permanent member's own military action, replicating a pattern of blocked action that Russia had already used to shield itself over the 2015 Minsk-related sanctions resolution (S/RES/2202) concerning eastern Ukraine (</w:t>
      </w:r>
      <w:proofErr w:type="spellStart"/>
      <w:r w:rsidRPr="001444BA">
        <w:rPr>
          <w:rFonts w:ascii="Times New Roman" w:hAnsi="Times New Roman" w:cs="Times New Roman"/>
          <w:sz w:val="20"/>
          <w:szCs w:val="20"/>
        </w:rPr>
        <w:t>Suardi</w:t>
      </w:r>
      <w:proofErr w:type="spellEnd"/>
      <w:r w:rsidRPr="001444BA">
        <w:rPr>
          <w:rFonts w:ascii="Times New Roman" w:hAnsi="Times New Roman" w:cs="Times New Roman"/>
          <w:sz w:val="20"/>
          <w:szCs w:val="20"/>
        </w:rPr>
        <w:t xml:space="preserve">, </w:t>
      </w:r>
      <w:proofErr w:type="spellStart"/>
      <w:r w:rsidRPr="001444BA">
        <w:rPr>
          <w:rFonts w:ascii="Times New Roman" w:hAnsi="Times New Roman" w:cs="Times New Roman"/>
          <w:sz w:val="20"/>
          <w:szCs w:val="20"/>
        </w:rPr>
        <w:t>Nuzulian</w:t>
      </w:r>
      <w:proofErr w:type="spellEnd"/>
      <w:r w:rsidRPr="001444BA">
        <w:rPr>
          <w:rFonts w:ascii="Times New Roman" w:hAnsi="Times New Roman" w:cs="Times New Roman"/>
          <w:sz w:val="20"/>
          <w:szCs w:val="20"/>
        </w:rPr>
        <w:t xml:space="preserve">, &amp; </w:t>
      </w:r>
      <w:proofErr w:type="spellStart"/>
      <w:r w:rsidRPr="001444BA">
        <w:rPr>
          <w:rFonts w:ascii="Times New Roman" w:hAnsi="Times New Roman" w:cs="Times New Roman"/>
          <w:sz w:val="20"/>
          <w:szCs w:val="20"/>
        </w:rPr>
        <w:t>Olifiani</w:t>
      </w:r>
      <w:proofErr w:type="spellEnd"/>
      <w:r w:rsidRPr="001444BA">
        <w:rPr>
          <w:rFonts w:ascii="Times New Roman" w:hAnsi="Times New Roman" w:cs="Times New Roman"/>
          <w:sz w:val="20"/>
          <w:szCs w:val="20"/>
        </w:rPr>
        <w:t xml:space="preserve">, 2024; </w:t>
      </w:r>
      <w:proofErr w:type="spell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2022). Second, it marked, in scale and profile, the first instance of an undisguised P5 defiance of the Council's founding purpose by a state simultaneously claiming the Council's protection (</w:t>
      </w:r>
      <w:proofErr w:type="spell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et al., 2024). Unlike Syria, where Russian vetoes shielded an allied but non-P5 regime, Ukraine represented direct, unmediated great-power aggression removing any ambiguity about whether the veto could function as a check on a permanent member's own conduct.</w:t>
      </w:r>
    </w:p>
    <w:p w:rsidR="001753CA" w:rsidRPr="001444BA" w:rsidRDefault="001753CA" w:rsidP="001753CA">
      <w:pPr>
        <w:pStyle w:val="Heading2"/>
        <w:spacing w:after="120" w:line="276" w:lineRule="auto"/>
        <w:jc w:val="both"/>
        <w:rPr>
          <w:rFonts w:ascii="Times New Roman" w:hAnsi="Times New Roman" w:cs="Times New Roman"/>
          <w:b w:val="0"/>
          <w:bCs w:val="0"/>
          <w:color w:val="auto"/>
          <w:sz w:val="20"/>
          <w:szCs w:val="20"/>
        </w:rPr>
      </w:pPr>
      <w:r w:rsidRPr="001444BA">
        <w:rPr>
          <w:rFonts w:ascii="Times New Roman" w:hAnsi="Times New Roman" w:cs="Times New Roman"/>
          <w:color w:val="auto"/>
          <w:sz w:val="20"/>
          <w:szCs w:val="20"/>
        </w:rPr>
        <w:t>Procedural Workarounds and Their Structural Limits</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Confronted with Council paralysis, the UN activated two long-standing procedural alternatives. The first was the General </w:t>
      </w:r>
      <w:r w:rsidRPr="001444BA">
        <w:rPr>
          <w:rFonts w:ascii="Times New Roman" w:hAnsi="Times New Roman" w:cs="Times New Roman"/>
          <w:sz w:val="20"/>
          <w:szCs w:val="20"/>
        </w:rPr>
        <w:lastRenderedPageBreak/>
        <w:t>Assembly's Uniting-for-Peace mechanism, dating to Resolution 377A of 1950, which allows the Assembly to convene an emergency special session and make recommendations when the Council is prevented by a lack of unanimity from exercising its primary responsibility. On 2 March 2022 the Assembly adopted resolution ES-11/1 by a vote of 141 to 5, with 35 abstentions, demanding an immediate Russian withdrawal (UN General Assembly, 2022); further resolutions addressed humanitarian consequences, Russia's suspension from the Human Rights Council, and a register of damages (UN General Assembly, 2022b). Over the following years, seven such resolutions were adopted, consistently drawing the support of more than 140 member states (UN General Assembly, 2022; 2023).</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Structurally, however, Assembly resolutions carry no binding force and no enforcement mechanism; Russian Foreign Minister Sergei </w:t>
      </w:r>
      <w:proofErr w:type="spellStart"/>
      <w:r w:rsidRPr="001444BA">
        <w:rPr>
          <w:rFonts w:ascii="Times New Roman" w:hAnsi="Times New Roman" w:cs="Times New Roman"/>
          <w:sz w:val="20"/>
          <w:szCs w:val="20"/>
        </w:rPr>
        <w:t>Lavrov's</w:t>
      </w:r>
      <w:proofErr w:type="spellEnd"/>
      <w:r w:rsidRPr="001444BA">
        <w:rPr>
          <w:rFonts w:ascii="Times New Roman" w:hAnsi="Times New Roman" w:cs="Times New Roman"/>
          <w:sz w:val="20"/>
          <w:szCs w:val="20"/>
        </w:rPr>
        <w:t xml:space="preserve"> dismissal of the votes as "political pantomime" (as reported by Reuters, 2022) captured the practical limits of this workaround (</w:t>
      </w:r>
      <w:proofErr w:type="spellStart"/>
      <w:r w:rsidRPr="001444BA">
        <w:rPr>
          <w:rFonts w:ascii="Times New Roman" w:hAnsi="Times New Roman" w:cs="Times New Roman"/>
          <w:sz w:val="20"/>
          <w:szCs w:val="20"/>
        </w:rPr>
        <w:t>Kostakos</w:t>
      </w:r>
      <w:proofErr w:type="spellEnd"/>
      <w:r w:rsidRPr="001444BA">
        <w:rPr>
          <w:rFonts w:ascii="Times New Roman" w:hAnsi="Times New Roman" w:cs="Times New Roman"/>
          <w:sz w:val="20"/>
          <w:szCs w:val="20"/>
        </w:rPr>
        <w:t xml:space="preserve">, 2023). Their significance was normative and diplomatic registering near-universal condemnation and isolating Russia rhetorically rather than operationally, consistent with a Liberal </w:t>
      </w:r>
      <w:proofErr w:type="spellStart"/>
      <w:r w:rsidRPr="001444BA">
        <w:rPr>
          <w:rFonts w:ascii="Times New Roman" w:hAnsi="Times New Roman" w:cs="Times New Roman"/>
          <w:sz w:val="20"/>
          <w:szCs w:val="20"/>
        </w:rPr>
        <w:t>Institutionalist</w:t>
      </w:r>
      <w:proofErr w:type="spellEnd"/>
      <w:r w:rsidRPr="001444BA">
        <w:rPr>
          <w:rFonts w:ascii="Times New Roman" w:hAnsi="Times New Roman" w:cs="Times New Roman"/>
          <w:sz w:val="20"/>
          <w:szCs w:val="20"/>
        </w:rPr>
        <w:t xml:space="preserve"> reading of resolutions as consensus-signalling devices and a Realist reading of them as inconsequential to the military balance (</w:t>
      </w:r>
      <w:proofErr w:type="spellStart"/>
      <w:r w:rsidRPr="001444BA">
        <w:rPr>
          <w:rFonts w:ascii="Times New Roman" w:hAnsi="Times New Roman" w:cs="Times New Roman"/>
          <w:sz w:val="20"/>
          <w:szCs w:val="20"/>
        </w:rPr>
        <w:t>Keohane</w:t>
      </w:r>
      <w:proofErr w:type="spellEnd"/>
      <w:r w:rsidRPr="001444BA">
        <w:rPr>
          <w:rFonts w:ascii="Times New Roman" w:hAnsi="Times New Roman" w:cs="Times New Roman"/>
          <w:sz w:val="20"/>
          <w:szCs w:val="20"/>
        </w:rPr>
        <w:t xml:space="preserve"> &amp; Martin, 2023; </w:t>
      </w:r>
      <w:proofErr w:type="spellStart"/>
      <w:r w:rsidRPr="001444BA">
        <w:rPr>
          <w:rFonts w:ascii="Times New Roman" w:hAnsi="Times New Roman" w:cs="Times New Roman"/>
          <w:sz w:val="20"/>
          <w:szCs w:val="20"/>
        </w:rPr>
        <w:t>Mearsheimer</w:t>
      </w:r>
      <w:proofErr w:type="spellEnd"/>
      <w:r w:rsidRPr="001444BA">
        <w:rPr>
          <w:rFonts w:ascii="Times New Roman" w:hAnsi="Times New Roman" w:cs="Times New Roman"/>
          <w:sz w:val="20"/>
          <w:szCs w:val="20"/>
        </w:rPr>
        <w:t>, 2018).</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lastRenderedPageBreak/>
        <w:t xml:space="preserve">The second workaround was the Secretary-General's good-offices function under Article 99, which entitles the Secretary-General to bring to the Council's attention any matter that may threaten international peace and security. </w:t>
      </w:r>
      <w:proofErr w:type="spellStart"/>
      <w:r w:rsidRPr="001444BA">
        <w:rPr>
          <w:rFonts w:ascii="Times New Roman" w:hAnsi="Times New Roman" w:cs="Times New Roman"/>
          <w:sz w:val="20"/>
          <w:szCs w:val="20"/>
        </w:rPr>
        <w:t>António</w:t>
      </w:r>
      <w:proofErr w:type="spellEnd"/>
      <w:r w:rsidRPr="001444BA">
        <w:rPr>
          <w:rFonts w:ascii="Times New Roman" w:hAnsi="Times New Roman" w:cs="Times New Roman"/>
          <w:sz w:val="20"/>
          <w:szCs w:val="20"/>
        </w:rPr>
        <w:t xml:space="preserve"> </w:t>
      </w:r>
      <w:proofErr w:type="spellStart"/>
      <w:r w:rsidRPr="001444BA">
        <w:rPr>
          <w:rFonts w:ascii="Times New Roman" w:hAnsi="Times New Roman" w:cs="Times New Roman"/>
          <w:sz w:val="20"/>
          <w:szCs w:val="20"/>
        </w:rPr>
        <w:t>Guterres</w:t>
      </w:r>
      <w:proofErr w:type="spellEnd"/>
      <w:r w:rsidRPr="001444BA">
        <w:rPr>
          <w:rFonts w:ascii="Times New Roman" w:hAnsi="Times New Roman" w:cs="Times New Roman"/>
          <w:sz w:val="20"/>
          <w:szCs w:val="20"/>
        </w:rPr>
        <w:t xml:space="preserve"> condemned the invasion on 24 February 2022 (UN News, 2022a) and undertook shuttle diplomacy, including an April 2022 visit to Moscow that helped secure the evacuation of civilians from </w:t>
      </w:r>
      <w:proofErr w:type="spellStart"/>
      <w:r w:rsidRPr="001444BA">
        <w:rPr>
          <w:rFonts w:ascii="Times New Roman" w:hAnsi="Times New Roman" w:cs="Times New Roman"/>
          <w:sz w:val="20"/>
          <w:szCs w:val="20"/>
        </w:rPr>
        <w:t>Mariupol</w:t>
      </w:r>
      <w:proofErr w:type="spellEnd"/>
      <w:r w:rsidRPr="001444BA">
        <w:rPr>
          <w:rFonts w:ascii="Times New Roman" w:hAnsi="Times New Roman" w:cs="Times New Roman"/>
          <w:sz w:val="20"/>
          <w:szCs w:val="20"/>
        </w:rPr>
        <w:t xml:space="preserve"> (UN News, 2022b). Yet </w:t>
      </w:r>
      <w:proofErr w:type="spellStart"/>
      <w:r w:rsidRPr="001444BA">
        <w:rPr>
          <w:rFonts w:ascii="Times New Roman" w:hAnsi="Times New Roman" w:cs="Times New Roman"/>
          <w:sz w:val="20"/>
          <w:szCs w:val="20"/>
        </w:rPr>
        <w:t>Guterres</w:t>
      </w:r>
      <w:proofErr w:type="spellEnd"/>
      <w:r w:rsidRPr="001444BA">
        <w:rPr>
          <w:rFonts w:ascii="Times New Roman" w:hAnsi="Times New Roman" w:cs="Times New Roman"/>
          <w:sz w:val="20"/>
          <w:szCs w:val="20"/>
        </w:rPr>
        <w:t xml:space="preserve"> notably declined to formally invoke Article 99 to compel Council attention, a restraint that critics attribute to a calculation that doing so would provoke another Russian veto while depleting the political capital needed to sustain humanitarian access (</w:t>
      </w:r>
      <w:proofErr w:type="spellStart"/>
      <w:r w:rsidRPr="001444BA">
        <w:rPr>
          <w:rFonts w:ascii="Times New Roman" w:hAnsi="Times New Roman" w:cs="Times New Roman"/>
          <w:sz w:val="20"/>
          <w:szCs w:val="20"/>
        </w:rPr>
        <w:t>Özdilek</w:t>
      </w:r>
      <w:proofErr w:type="spellEnd"/>
      <w:r w:rsidRPr="001444BA">
        <w:rPr>
          <w:rFonts w:ascii="Times New Roman" w:hAnsi="Times New Roman" w:cs="Times New Roman"/>
          <w:sz w:val="20"/>
          <w:szCs w:val="20"/>
        </w:rPr>
        <w:t xml:space="preserve">, 2025; </w:t>
      </w:r>
      <w:proofErr w:type="spell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xml:space="preserve">, 2022; Hu &amp; </w:t>
      </w:r>
      <w:proofErr w:type="spellStart"/>
      <w:r w:rsidRPr="001444BA">
        <w:rPr>
          <w:rFonts w:ascii="Times New Roman" w:hAnsi="Times New Roman" w:cs="Times New Roman"/>
          <w:sz w:val="20"/>
          <w:szCs w:val="20"/>
        </w:rPr>
        <w:t>Shen</w:t>
      </w:r>
      <w:proofErr w:type="spellEnd"/>
      <w:r w:rsidRPr="001444BA">
        <w:rPr>
          <w:rFonts w:ascii="Times New Roman" w:hAnsi="Times New Roman" w:cs="Times New Roman"/>
          <w:sz w:val="20"/>
          <w:szCs w:val="20"/>
        </w:rPr>
        <w:t>, 2025). This calculation illustrates a further structural feature of the good-offices function: its efficacy depends on the very great-power goodwill that the veto simultaneously renders discretionary, leaving the Secretary-General's moral authority at its lowest ebb precisely when it is most needed.</w:t>
      </w:r>
    </w:p>
    <w:p w:rsidR="001753CA" w:rsidRPr="001444BA" w:rsidRDefault="001753CA" w:rsidP="001753CA">
      <w:pPr>
        <w:pStyle w:val="Heading2"/>
        <w:spacing w:after="120" w:line="276" w:lineRule="auto"/>
        <w:jc w:val="both"/>
        <w:rPr>
          <w:rFonts w:ascii="Times New Roman" w:hAnsi="Times New Roman" w:cs="Times New Roman"/>
          <w:b w:val="0"/>
          <w:bCs w:val="0"/>
          <w:color w:val="auto"/>
          <w:sz w:val="20"/>
          <w:szCs w:val="20"/>
        </w:rPr>
      </w:pPr>
      <w:r w:rsidRPr="001444BA">
        <w:rPr>
          <w:rFonts w:ascii="Times New Roman" w:hAnsi="Times New Roman" w:cs="Times New Roman"/>
          <w:color w:val="auto"/>
          <w:sz w:val="20"/>
          <w:szCs w:val="20"/>
        </w:rPr>
        <w:t>China's Ambiguous Positioning and the Erosion of Council Unity</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A further structural dimension concerns the behaviour of the remaining P5 members, particularly China. Beijing did not cast a veto against the February 2022 resolution but abstained, avoiding direct confrontation with the Western P3 while withholding the collective condemnation that might have isolated Russia diplomatically within the Council (UN News, 2023). China's subsequent twelve-point peace proposal, which called for a ceasefire and rejected </w:t>
      </w:r>
      <w:r w:rsidRPr="001444BA">
        <w:rPr>
          <w:rFonts w:ascii="Times New Roman" w:hAnsi="Times New Roman" w:cs="Times New Roman"/>
          <w:sz w:val="20"/>
          <w:szCs w:val="20"/>
        </w:rPr>
        <w:lastRenderedPageBreak/>
        <w:t xml:space="preserve">nuclear escalation without naming Russia as the aggressor, was welcomed by Moscow and rejected by Kyiv and its allies as insufficiently balanced (Reuters, 2023; </w:t>
      </w:r>
      <w:proofErr w:type="spellStart"/>
      <w:r w:rsidRPr="001444BA">
        <w:rPr>
          <w:rFonts w:ascii="Times New Roman" w:hAnsi="Times New Roman" w:cs="Times New Roman"/>
          <w:sz w:val="20"/>
          <w:szCs w:val="20"/>
        </w:rPr>
        <w:t>Atnadu</w:t>
      </w:r>
      <w:proofErr w:type="spellEnd"/>
      <w:r w:rsidRPr="001444BA">
        <w:rPr>
          <w:rFonts w:ascii="Times New Roman" w:hAnsi="Times New Roman" w:cs="Times New Roman"/>
          <w:sz w:val="20"/>
          <w:szCs w:val="20"/>
        </w:rPr>
        <w:t xml:space="preserve"> &amp; </w:t>
      </w:r>
      <w:proofErr w:type="spellStart"/>
      <w:r w:rsidRPr="001444BA">
        <w:rPr>
          <w:rFonts w:ascii="Times New Roman" w:hAnsi="Times New Roman" w:cs="Times New Roman"/>
          <w:sz w:val="20"/>
          <w:szCs w:val="20"/>
        </w:rPr>
        <w:t>Halidu</w:t>
      </w:r>
      <w:proofErr w:type="spellEnd"/>
      <w:r w:rsidRPr="001444BA">
        <w:rPr>
          <w:rFonts w:ascii="Times New Roman" w:hAnsi="Times New Roman" w:cs="Times New Roman"/>
          <w:sz w:val="20"/>
          <w:szCs w:val="20"/>
        </w:rPr>
        <w:t xml:space="preserve">, 2023). </w:t>
      </w:r>
      <w:proofErr w:type="spellStart"/>
      <w:r w:rsidRPr="001444BA">
        <w:rPr>
          <w:rFonts w:ascii="Times New Roman" w:hAnsi="Times New Roman" w:cs="Times New Roman"/>
          <w:sz w:val="20"/>
          <w:szCs w:val="20"/>
        </w:rPr>
        <w:t>Unufe</w:t>
      </w:r>
      <w:proofErr w:type="spellEnd"/>
      <w:r w:rsidRPr="001444BA">
        <w:rPr>
          <w:rFonts w:ascii="Times New Roman" w:hAnsi="Times New Roman" w:cs="Times New Roman"/>
          <w:sz w:val="20"/>
          <w:szCs w:val="20"/>
        </w:rPr>
        <w:t xml:space="preserve"> (2024) and Smith and Dawson (2022) read China's stance as strategically dual-purposed: defending a norm of non-interference that also shields Beijing's own contested sovereignty claims, while positioning China as an alternative mediator competing with, rather than reinforcing, UN-centred diplomacy. The structural consequence was to deny the UN even the informal unanimity among the non-belligerent P5 members that might have compensated, diplomatically if not legally, for Russia's veto.</w:t>
      </w:r>
    </w:p>
    <w:p w:rsidR="001753CA" w:rsidRPr="001444BA" w:rsidRDefault="001753CA" w:rsidP="001753CA">
      <w:pPr>
        <w:pStyle w:val="Heading2"/>
        <w:spacing w:after="120" w:line="276" w:lineRule="auto"/>
        <w:jc w:val="both"/>
        <w:rPr>
          <w:rFonts w:ascii="Times New Roman" w:hAnsi="Times New Roman" w:cs="Times New Roman"/>
          <w:b w:val="0"/>
          <w:bCs w:val="0"/>
          <w:color w:val="auto"/>
          <w:sz w:val="20"/>
          <w:szCs w:val="20"/>
        </w:rPr>
      </w:pPr>
      <w:r w:rsidRPr="001444BA">
        <w:rPr>
          <w:rFonts w:ascii="Times New Roman" w:hAnsi="Times New Roman" w:cs="Times New Roman"/>
          <w:color w:val="auto"/>
          <w:sz w:val="20"/>
          <w:szCs w:val="20"/>
        </w:rPr>
        <w:t>Issue-Specific Diplomacy as a Structural Workaround: The Black Sea Grain Initiative</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The Black Sea Grain Initiative (BSGI), concluded in Istanbul on 22 July 2022 between the UN, Turkey, Russia, and Ukraine, is the clearest illustration of what the UN can achieve when it circumvents rather than confronts the Council's structural paralysis. By addressing a bounded, mutually beneficial issue the resumption of Ukrainian grain exports, coupled with Russia's own interest in exporting agricultural produce despite Western sanctions, the initiative allowed the export of more than 32 million tonnes of food and helped stabilise global wheat prices (World Food Programme, 2023). This outcome is consistent with Liberal </w:t>
      </w:r>
      <w:proofErr w:type="spellStart"/>
      <w:r w:rsidRPr="001444BA">
        <w:rPr>
          <w:rFonts w:ascii="Times New Roman" w:hAnsi="Times New Roman" w:cs="Times New Roman"/>
          <w:sz w:val="20"/>
          <w:szCs w:val="20"/>
        </w:rPr>
        <w:t>Institutionalist</w:t>
      </w:r>
      <w:proofErr w:type="spellEnd"/>
      <w:r w:rsidRPr="001444BA">
        <w:rPr>
          <w:rFonts w:ascii="Times New Roman" w:hAnsi="Times New Roman" w:cs="Times New Roman"/>
          <w:sz w:val="20"/>
          <w:szCs w:val="20"/>
        </w:rPr>
        <w:t xml:space="preserve"> expectations that institutions can generate cooperation in areas of mutual </w:t>
      </w:r>
      <w:r w:rsidRPr="001444BA">
        <w:rPr>
          <w:rFonts w:ascii="Times New Roman" w:hAnsi="Times New Roman" w:cs="Times New Roman"/>
          <w:sz w:val="20"/>
          <w:szCs w:val="20"/>
        </w:rPr>
        <w:lastRenderedPageBreak/>
        <w:t>gain even amid broader confrontation (</w:t>
      </w:r>
      <w:proofErr w:type="spellStart"/>
      <w:r w:rsidRPr="001444BA">
        <w:rPr>
          <w:rFonts w:ascii="Times New Roman" w:hAnsi="Times New Roman" w:cs="Times New Roman"/>
          <w:sz w:val="20"/>
          <w:szCs w:val="20"/>
        </w:rPr>
        <w:t>Keohane</w:t>
      </w:r>
      <w:proofErr w:type="spellEnd"/>
      <w:r w:rsidRPr="001444BA">
        <w:rPr>
          <w:rFonts w:ascii="Times New Roman" w:hAnsi="Times New Roman" w:cs="Times New Roman"/>
          <w:sz w:val="20"/>
          <w:szCs w:val="20"/>
        </w:rPr>
        <w:t xml:space="preserve"> &amp; Martin, 2023).</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Yet the BSGI simultaneously demonstrates the limits of issue-specific diplomacy as a substitute for structural mediation capacity. The agreement depended entirely on Turkey's bilateral leverage with both belligerents rather than on any UN enforcement </w:t>
      </w:r>
      <w:proofErr w:type="gramStart"/>
      <w:r w:rsidRPr="001444BA">
        <w:rPr>
          <w:rFonts w:ascii="Times New Roman" w:hAnsi="Times New Roman" w:cs="Times New Roman"/>
          <w:sz w:val="20"/>
          <w:szCs w:val="20"/>
        </w:rPr>
        <w:t>mechanism,</w:t>
      </w:r>
      <w:proofErr w:type="gramEnd"/>
      <w:r w:rsidRPr="001444BA">
        <w:rPr>
          <w:rFonts w:ascii="Times New Roman" w:hAnsi="Times New Roman" w:cs="Times New Roman"/>
          <w:sz w:val="20"/>
          <w:szCs w:val="20"/>
        </w:rPr>
        <w:t xml:space="preserve"> and it was unilaterally suspended by Russia in July 2023 with negligible international consequence (</w:t>
      </w:r>
      <w:proofErr w:type="spellStart"/>
      <w:r w:rsidRPr="001444BA">
        <w:rPr>
          <w:rFonts w:ascii="Times New Roman" w:hAnsi="Times New Roman" w:cs="Times New Roman"/>
          <w:sz w:val="20"/>
          <w:szCs w:val="20"/>
        </w:rPr>
        <w:t>Bramsen</w:t>
      </w:r>
      <w:proofErr w:type="spellEnd"/>
      <w:r w:rsidRPr="001444BA">
        <w:rPr>
          <w:rFonts w:ascii="Times New Roman" w:hAnsi="Times New Roman" w:cs="Times New Roman"/>
          <w:sz w:val="20"/>
          <w:szCs w:val="20"/>
        </w:rPr>
        <w:t xml:space="preserve"> &amp; </w:t>
      </w:r>
      <w:proofErr w:type="spellStart"/>
      <w:r w:rsidRPr="001444BA">
        <w:rPr>
          <w:rFonts w:ascii="Times New Roman" w:hAnsi="Times New Roman" w:cs="Times New Roman"/>
          <w:sz w:val="20"/>
          <w:szCs w:val="20"/>
        </w:rPr>
        <w:t>Svensson</w:t>
      </w:r>
      <w:proofErr w:type="spellEnd"/>
      <w:r w:rsidRPr="001444BA">
        <w:rPr>
          <w:rFonts w:ascii="Times New Roman" w:hAnsi="Times New Roman" w:cs="Times New Roman"/>
          <w:sz w:val="20"/>
          <w:szCs w:val="20"/>
        </w:rPr>
        <w:t>, 2024). Because the UN possessed no Council-backed instrument to compel compliance, the initiative's durability was, in the final analysis, only as strong as a single great power's continuing self-interest precisely the structural vulnerability that the veto system produces at every level of UN engagement with the conflict (</w:t>
      </w:r>
      <w:proofErr w:type="spellStart"/>
      <w:r w:rsidRPr="001444BA">
        <w:rPr>
          <w:rFonts w:ascii="Times New Roman" w:hAnsi="Times New Roman" w:cs="Times New Roman"/>
          <w:sz w:val="20"/>
          <w:szCs w:val="20"/>
        </w:rPr>
        <w:t>Elmalı</w:t>
      </w:r>
      <w:proofErr w:type="spellEnd"/>
      <w:r w:rsidRPr="001444BA">
        <w:rPr>
          <w:rFonts w:ascii="Times New Roman" w:hAnsi="Times New Roman" w:cs="Times New Roman"/>
          <w:sz w:val="20"/>
          <w:szCs w:val="20"/>
        </w:rPr>
        <w:t>, 2022).</w:t>
      </w:r>
    </w:p>
    <w:p w:rsidR="001753CA" w:rsidRPr="001444BA" w:rsidRDefault="001753CA" w:rsidP="001753CA">
      <w:pPr>
        <w:pStyle w:val="Heading1"/>
        <w:spacing w:after="160" w:line="276" w:lineRule="auto"/>
        <w:jc w:val="both"/>
        <w:rPr>
          <w:b w:val="0"/>
          <w:bCs/>
          <w:color w:val="000000" w:themeColor="text1"/>
          <w:sz w:val="20"/>
          <w:szCs w:val="20"/>
        </w:rPr>
      </w:pPr>
      <w:r w:rsidRPr="001444BA">
        <w:rPr>
          <w:bCs/>
          <w:color w:val="000000" w:themeColor="text1"/>
          <w:sz w:val="20"/>
          <w:szCs w:val="20"/>
        </w:rPr>
        <w:t>Discussion</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Taken together, the evidence indicates that the UN's mediation incapacity in the Russian-Ukrainian war is not attributable primarily to a lack of institutional will, resources, or diplomatic skill, but to the Charter's own architecture. The veto was designed, as </w:t>
      </w:r>
      <w:proofErr w:type="spellStart"/>
      <w:r w:rsidRPr="001444BA">
        <w:rPr>
          <w:rFonts w:ascii="Times New Roman" w:hAnsi="Times New Roman" w:cs="Times New Roman"/>
          <w:sz w:val="20"/>
          <w:szCs w:val="20"/>
        </w:rPr>
        <w:t>Setiawan</w:t>
      </w:r>
      <w:proofErr w:type="spellEnd"/>
      <w:r w:rsidRPr="001444BA">
        <w:rPr>
          <w:rFonts w:ascii="Times New Roman" w:hAnsi="Times New Roman" w:cs="Times New Roman"/>
          <w:sz w:val="20"/>
          <w:szCs w:val="20"/>
        </w:rPr>
        <w:t xml:space="preserve"> (2024) observes, to secure great-power participation in the </w:t>
      </w:r>
      <w:proofErr w:type="spellStart"/>
      <w:r w:rsidRPr="001444BA">
        <w:rPr>
          <w:rFonts w:ascii="Times New Roman" w:hAnsi="Times New Roman" w:cs="Times New Roman"/>
          <w:sz w:val="20"/>
          <w:szCs w:val="20"/>
        </w:rPr>
        <w:t>postwar</w:t>
      </w:r>
      <w:proofErr w:type="spellEnd"/>
      <w:r w:rsidRPr="001444BA">
        <w:rPr>
          <w:rFonts w:ascii="Times New Roman" w:hAnsi="Times New Roman" w:cs="Times New Roman"/>
          <w:sz w:val="20"/>
          <w:szCs w:val="20"/>
        </w:rPr>
        <w:t xml:space="preserve"> order rather than to constrain great-power conduct; the Russian-Ukrainian war has simply exposed this design feature under its worst-case application: a permanent member as an unambiguous aggressor. Every available workaround examined above the Uniting-for-Peace mechanism, the Secretary-General's good offices, and issue-specific diplomacy through the BSGI produced normatively </w:t>
      </w:r>
      <w:r w:rsidRPr="001444BA">
        <w:rPr>
          <w:rFonts w:ascii="Times New Roman" w:hAnsi="Times New Roman" w:cs="Times New Roman"/>
          <w:sz w:val="20"/>
          <w:szCs w:val="20"/>
        </w:rPr>
        <w:lastRenderedPageBreak/>
        <w:t>significant but operationally non-binding outcomes, a pattern that supports Realist expectations about institutional constraint by great-power interest while simultaneously validating Constructivist claims that the UN's normative and legal work (isolating Russia diplomatically, sustaining the principle of territorial integrity) retains independent value even absent enforcement capacity (</w:t>
      </w:r>
      <w:proofErr w:type="spellStart"/>
      <w:r w:rsidRPr="001444BA">
        <w:rPr>
          <w:rFonts w:ascii="Times New Roman" w:hAnsi="Times New Roman" w:cs="Times New Roman"/>
          <w:sz w:val="20"/>
          <w:szCs w:val="20"/>
        </w:rPr>
        <w:t>Mearsheimer</w:t>
      </w:r>
      <w:proofErr w:type="spellEnd"/>
      <w:r w:rsidRPr="001444BA">
        <w:rPr>
          <w:rFonts w:ascii="Times New Roman" w:hAnsi="Times New Roman" w:cs="Times New Roman"/>
          <w:sz w:val="20"/>
          <w:szCs w:val="20"/>
        </w:rPr>
        <w:t>, 2018; Wendt, 1999; Smith &amp; Dawson, 2022).</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This structural reading also clarifies the theoretical debate, noted in the literature, over whether the UN's limited role reflects systemic design or avoidable institutional misjudgement (Weiss &amp; Daws, 2018; </w:t>
      </w:r>
      <w:proofErr w:type="spell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et al., 2024). The analysis here suggests the balance falls toward the structural explanation: even a maximally assertive Secretary-General operating within the existing Charter framework could not have overridden a P5 veto, though a more assertive posture might have marginally increased the diplomatic and reputational costs to Russia. The practical implication is that reform proposals must target the veto mechanism itself, or the incentives surrounding its use, rather than assume that improved UN diplomatic practice alone can resolve the underlying incapacity.</w:t>
      </w:r>
    </w:p>
    <w:p w:rsidR="001753CA" w:rsidRPr="001444BA" w:rsidRDefault="001753CA" w:rsidP="001753CA">
      <w:pPr>
        <w:pStyle w:val="Heading1"/>
        <w:spacing w:after="160" w:line="276" w:lineRule="auto"/>
        <w:jc w:val="both"/>
        <w:rPr>
          <w:b w:val="0"/>
          <w:bCs/>
          <w:color w:val="auto"/>
          <w:sz w:val="20"/>
          <w:szCs w:val="20"/>
        </w:rPr>
      </w:pPr>
      <w:r w:rsidRPr="001444BA">
        <w:rPr>
          <w:bCs/>
          <w:color w:val="auto"/>
          <w:sz w:val="20"/>
          <w:szCs w:val="20"/>
        </w:rPr>
        <w:t>Conclusion and Recommendations</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This article has appraised the structural conditions centred on the Security Council veto under Article 27(3) that have conditioned the UN's inability to act as a credible mediator in the Russian-Ukrainian war. The evidence shows that the veto immunised </w:t>
      </w:r>
      <w:r w:rsidRPr="001444BA">
        <w:rPr>
          <w:rFonts w:ascii="Times New Roman" w:hAnsi="Times New Roman" w:cs="Times New Roman"/>
          <w:sz w:val="20"/>
          <w:szCs w:val="20"/>
        </w:rPr>
        <w:lastRenderedPageBreak/>
        <w:t>Russia from Council-authorised action from the war's first day, that the General Assembly's Uniting-for-Peace resolutions and the Secretary-General's good offices supplied normative condemnation without operational leverage, that China's studied ambiguity further weakened collective Council pressure, and that even the UN's most concrete achievement, the Black Sea Grain Initiative, remained structurally dependent on unilateral great-power consent that could be, and was, withdrawn.</w:t>
      </w:r>
    </w:p>
    <w:p w:rsidR="001753CA" w:rsidRPr="001444BA" w:rsidRDefault="001753CA" w:rsidP="001753CA">
      <w:pPr>
        <w:spacing w:after="200" w:line="276" w:lineRule="auto"/>
        <w:jc w:val="both"/>
        <w:rPr>
          <w:rFonts w:ascii="Times New Roman" w:hAnsi="Times New Roman" w:cs="Times New Roman"/>
          <w:sz w:val="20"/>
          <w:szCs w:val="20"/>
        </w:rPr>
      </w:pPr>
      <w:r w:rsidRPr="001444BA">
        <w:rPr>
          <w:rFonts w:ascii="Times New Roman" w:hAnsi="Times New Roman" w:cs="Times New Roman"/>
          <w:sz w:val="20"/>
          <w:szCs w:val="20"/>
        </w:rPr>
        <w:t xml:space="preserve">Two recommendations follow directly from this structural diagnosis. First, the Security Council should adopt, and its permanent members should commit to, a voluntary code of conduct restraining the use of the veto in cases of mass atrocity and clear aggression, along the lines proposed by the ACT Group (Peters, 2023; </w:t>
      </w:r>
      <w:proofErr w:type="spellStart"/>
      <w:r w:rsidRPr="001444BA">
        <w:rPr>
          <w:rFonts w:ascii="Times New Roman" w:hAnsi="Times New Roman" w:cs="Times New Roman"/>
          <w:sz w:val="20"/>
          <w:szCs w:val="20"/>
        </w:rPr>
        <w:t>Kubko</w:t>
      </w:r>
      <w:proofErr w:type="spellEnd"/>
      <w:r w:rsidRPr="001444BA">
        <w:rPr>
          <w:rFonts w:ascii="Times New Roman" w:hAnsi="Times New Roman" w:cs="Times New Roman"/>
          <w:sz w:val="20"/>
          <w:szCs w:val="20"/>
        </w:rPr>
        <w:t>, 2025); such a code would not require Charter amendment yet would raise the reputational cost of veto use and strengthen the normative authority of Assembly resolutions. Second, member states should explicitly and durably empower the Secretary-General to exercise Article 99 good offices proactively rather than defensively, recognising that, as documented in this study, restraint diminished relevance rather than preserved capital and that the political costs of inaction have generally outweighed the risks of assertive engagement (</w:t>
      </w:r>
      <w:proofErr w:type="spell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xml:space="preserve">, 2022; </w:t>
      </w:r>
      <w:proofErr w:type="spellStart"/>
      <w:r w:rsidRPr="001444BA">
        <w:rPr>
          <w:rFonts w:ascii="Times New Roman" w:hAnsi="Times New Roman" w:cs="Times New Roman"/>
          <w:sz w:val="20"/>
          <w:szCs w:val="20"/>
        </w:rPr>
        <w:t>Özdilek</w:t>
      </w:r>
      <w:proofErr w:type="spellEnd"/>
      <w:r w:rsidRPr="001444BA">
        <w:rPr>
          <w:rFonts w:ascii="Times New Roman" w:hAnsi="Times New Roman" w:cs="Times New Roman"/>
          <w:sz w:val="20"/>
          <w:szCs w:val="20"/>
        </w:rPr>
        <w:t xml:space="preserve">, 2025). Absent such reforms, the structural conditions identified here will recur in future great-power confrontations, leaving the UN capable of bearing witness and delivering humanitarian relief, but structurally </w:t>
      </w:r>
      <w:r w:rsidRPr="001444BA">
        <w:rPr>
          <w:rFonts w:ascii="Times New Roman" w:hAnsi="Times New Roman" w:cs="Times New Roman"/>
          <w:sz w:val="20"/>
          <w:szCs w:val="20"/>
        </w:rPr>
        <w:lastRenderedPageBreak/>
        <w:t>unable to mediate the conflicts that most threaten international peace and security.</w:t>
      </w:r>
    </w:p>
    <w:p w:rsidR="001753CA" w:rsidRPr="001444BA" w:rsidRDefault="001753CA" w:rsidP="001753CA">
      <w:pPr>
        <w:pStyle w:val="Heading1"/>
        <w:spacing w:after="160"/>
        <w:jc w:val="both"/>
        <w:rPr>
          <w:b w:val="0"/>
          <w:bCs/>
          <w:color w:val="000000" w:themeColor="text1"/>
          <w:sz w:val="20"/>
          <w:szCs w:val="20"/>
        </w:rPr>
      </w:pPr>
      <w:r w:rsidRPr="001444BA">
        <w:rPr>
          <w:bCs/>
          <w:color w:val="000000" w:themeColor="text1"/>
          <w:sz w:val="20"/>
          <w:szCs w:val="20"/>
        </w:rPr>
        <w:t>References</w:t>
      </w:r>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Accountability, Coherence and Transparency (ACT) Group.</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(2023). Code of conduct regarding Security Council action against genocide, crimes against humanity or war crimes.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African Union.</w:t>
      </w:r>
      <w:proofErr w:type="gramEnd"/>
      <w:r w:rsidRPr="001444BA">
        <w:rPr>
          <w:rFonts w:ascii="Times New Roman" w:hAnsi="Times New Roman" w:cs="Times New Roman"/>
          <w:sz w:val="20"/>
          <w:szCs w:val="20"/>
        </w:rPr>
        <w:t xml:space="preserve"> (2023). African leaders' peace mission to Russia and Ukraine: Ten-point peace plan. </w:t>
      </w:r>
      <w:proofErr w:type="gramStart"/>
      <w:r w:rsidRPr="001444BA">
        <w:rPr>
          <w:rFonts w:ascii="Times New Roman" w:hAnsi="Times New Roman" w:cs="Times New Roman"/>
          <w:sz w:val="20"/>
          <w:szCs w:val="20"/>
        </w:rPr>
        <w:t>African Union Commission.</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Atnadu</w:t>
      </w:r>
      <w:proofErr w:type="spellEnd"/>
      <w:r w:rsidRPr="001444BA">
        <w:rPr>
          <w:rFonts w:ascii="Times New Roman" w:hAnsi="Times New Roman" w:cs="Times New Roman"/>
          <w:sz w:val="20"/>
          <w:szCs w:val="20"/>
        </w:rPr>
        <w:t xml:space="preserve">, A., &amp; </w:t>
      </w:r>
      <w:proofErr w:type="spellStart"/>
      <w:r w:rsidRPr="001444BA">
        <w:rPr>
          <w:rFonts w:ascii="Times New Roman" w:hAnsi="Times New Roman" w:cs="Times New Roman"/>
          <w:sz w:val="20"/>
          <w:szCs w:val="20"/>
        </w:rPr>
        <w:t>Halidu</w:t>
      </w:r>
      <w:proofErr w:type="spellEnd"/>
      <w:r w:rsidRPr="001444BA">
        <w:rPr>
          <w:rFonts w:ascii="Times New Roman" w:hAnsi="Times New Roman" w:cs="Times New Roman"/>
          <w:sz w:val="20"/>
          <w:szCs w:val="20"/>
        </w:rPr>
        <w:t xml:space="preserve">, S. (2023). </w:t>
      </w:r>
      <w:proofErr w:type="gramStart"/>
      <w:r w:rsidRPr="001444BA">
        <w:rPr>
          <w:rFonts w:ascii="Times New Roman" w:hAnsi="Times New Roman" w:cs="Times New Roman"/>
          <w:sz w:val="20"/>
          <w:szCs w:val="20"/>
        </w:rPr>
        <w:t>Great-power narratives and the legitimacy of multilateral mediation in the Russia-Ukraine war.</w:t>
      </w:r>
      <w:proofErr w:type="gramEnd"/>
      <w:r w:rsidRPr="001444BA">
        <w:rPr>
          <w:rFonts w:ascii="Times New Roman" w:hAnsi="Times New Roman" w:cs="Times New Roman"/>
          <w:sz w:val="20"/>
          <w:szCs w:val="20"/>
        </w:rPr>
        <w:t xml:space="preserve"> Journal of International Affairs and Diplomacy, 11(2), 45–63.</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Bramsen</w:t>
      </w:r>
      <w:proofErr w:type="spellEnd"/>
      <w:r w:rsidRPr="001444BA">
        <w:rPr>
          <w:rFonts w:ascii="Times New Roman" w:hAnsi="Times New Roman" w:cs="Times New Roman"/>
          <w:sz w:val="20"/>
          <w:szCs w:val="20"/>
        </w:rPr>
        <w:t xml:space="preserve">, I., &amp; </w:t>
      </w:r>
      <w:proofErr w:type="spellStart"/>
      <w:r w:rsidRPr="001444BA">
        <w:rPr>
          <w:rFonts w:ascii="Times New Roman" w:hAnsi="Times New Roman" w:cs="Times New Roman"/>
          <w:sz w:val="20"/>
          <w:szCs w:val="20"/>
        </w:rPr>
        <w:t>Svensson</w:t>
      </w:r>
      <w:proofErr w:type="spellEnd"/>
      <w:r w:rsidRPr="001444BA">
        <w:rPr>
          <w:rFonts w:ascii="Times New Roman" w:hAnsi="Times New Roman" w:cs="Times New Roman"/>
          <w:sz w:val="20"/>
          <w:szCs w:val="20"/>
        </w:rPr>
        <w:t>, I. (2024).</w:t>
      </w:r>
      <w:proofErr w:type="gramEnd"/>
      <w:r w:rsidRPr="001444BA">
        <w:rPr>
          <w:rFonts w:ascii="Times New Roman" w:hAnsi="Times New Roman" w:cs="Times New Roman"/>
          <w:sz w:val="20"/>
          <w:szCs w:val="20"/>
        </w:rPr>
        <w:t xml:space="preserve"> Grain diplomacy and the limits of issue-specific mediation: Reassessing the Black Sea Grain Initiative. International Negotiation, 29(1), 1–22.</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Elmalı</w:t>
      </w:r>
      <w:proofErr w:type="spellEnd"/>
      <w:r w:rsidRPr="001444BA">
        <w:rPr>
          <w:rFonts w:ascii="Times New Roman" w:hAnsi="Times New Roman" w:cs="Times New Roman"/>
          <w:sz w:val="20"/>
          <w:szCs w:val="20"/>
        </w:rPr>
        <w:t xml:space="preserve">, B. (2022). </w:t>
      </w:r>
      <w:proofErr w:type="gramStart"/>
      <w:r w:rsidRPr="001444BA">
        <w:rPr>
          <w:rFonts w:ascii="Times New Roman" w:hAnsi="Times New Roman" w:cs="Times New Roman"/>
          <w:sz w:val="20"/>
          <w:szCs w:val="20"/>
        </w:rPr>
        <w:t>Turkey's mediating role in the Russia-Ukraine grain corridor.</w:t>
      </w:r>
      <w:proofErr w:type="gramEnd"/>
      <w:r w:rsidRPr="001444BA">
        <w:rPr>
          <w:rFonts w:ascii="Times New Roman" w:hAnsi="Times New Roman" w:cs="Times New Roman"/>
          <w:sz w:val="20"/>
          <w:szCs w:val="20"/>
        </w:rPr>
        <w:t xml:space="preserve"> Insight Turkey, 24(3), 77–92.</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George, J. (2022). </w:t>
      </w:r>
      <w:proofErr w:type="gramStart"/>
      <w:r w:rsidRPr="001444BA">
        <w:rPr>
          <w:rFonts w:ascii="Times New Roman" w:hAnsi="Times New Roman" w:cs="Times New Roman"/>
          <w:sz w:val="20"/>
          <w:szCs w:val="20"/>
        </w:rPr>
        <w:t>Imperial nostalgia and Russian foreign policy in Ukraine.</w:t>
      </w:r>
      <w:proofErr w:type="gramEnd"/>
      <w:r w:rsidRPr="001444BA">
        <w:rPr>
          <w:rFonts w:ascii="Times New Roman" w:hAnsi="Times New Roman" w:cs="Times New Roman"/>
          <w:sz w:val="20"/>
          <w:szCs w:val="20"/>
        </w:rPr>
        <w:t xml:space="preserve"> Post-Soviet Affairs, 38(4), 233–251.</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Greig</w:t>
      </w:r>
      <w:proofErr w:type="spellEnd"/>
      <w:r w:rsidRPr="001444BA">
        <w:rPr>
          <w:rFonts w:ascii="Times New Roman" w:hAnsi="Times New Roman" w:cs="Times New Roman"/>
          <w:sz w:val="20"/>
          <w:szCs w:val="20"/>
        </w:rPr>
        <w:t>, J. M., &amp; Diehl, P. F. (2023).</w:t>
      </w:r>
      <w:proofErr w:type="gramEnd"/>
      <w:r w:rsidRPr="001444BA">
        <w:rPr>
          <w:rFonts w:ascii="Times New Roman" w:hAnsi="Times New Roman" w:cs="Times New Roman"/>
          <w:sz w:val="20"/>
          <w:szCs w:val="20"/>
        </w:rPr>
        <w:t xml:space="preserve"> International mediation (2nd </w:t>
      </w:r>
      <w:proofErr w:type="gramStart"/>
      <w:r w:rsidRPr="001444BA">
        <w:rPr>
          <w:rFonts w:ascii="Times New Roman" w:hAnsi="Times New Roman" w:cs="Times New Roman"/>
          <w:sz w:val="20"/>
          <w:szCs w:val="20"/>
        </w:rPr>
        <w:t>ed</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Polity Press.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lastRenderedPageBreak/>
        <w:t>Gunawan</w:t>
      </w:r>
      <w:proofErr w:type="spellEnd"/>
      <w:r w:rsidRPr="001444BA">
        <w:rPr>
          <w:rFonts w:ascii="Times New Roman" w:hAnsi="Times New Roman" w:cs="Times New Roman"/>
          <w:sz w:val="20"/>
          <w:szCs w:val="20"/>
        </w:rPr>
        <w:t xml:space="preserve">, R., &amp; </w:t>
      </w:r>
      <w:proofErr w:type="spellStart"/>
      <w:r w:rsidRPr="001444BA">
        <w:rPr>
          <w:rFonts w:ascii="Times New Roman" w:hAnsi="Times New Roman" w:cs="Times New Roman"/>
          <w:sz w:val="20"/>
          <w:szCs w:val="20"/>
        </w:rPr>
        <w:t>Prasetyo</w:t>
      </w:r>
      <w:proofErr w:type="spellEnd"/>
      <w:r w:rsidRPr="001444BA">
        <w:rPr>
          <w:rFonts w:ascii="Times New Roman" w:hAnsi="Times New Roman" w:cs="Times New Roman"/>
          <w:sz w:val="20"/>
          <w:szCs w:val="20"/>
        </w:rPr>
        <w:t>, A. (2024).</w:t>
      </w:r>
      <w:proofErr w:type="gramEnd"/>
      <w:r w:rsidRPr="001444BA">
        <w:rPr>
          <w:rFonts w:ascii="Times New Roman" w:hAnsi="Times New Roman" w:cs="Times New Roman"/>
          <w:sz w:val="20"/>
          <w:szCs w:val="20"/>
        </w:rPr>
        <w:t xml:space="preserve"> Trust deficits in UN-led mediation: The Ukrainian case. Asian Journal of Peace Studies, 6(1), 19–34.</w:t>
      </w:r>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 xml:space="preserve">Hu, W., &amp; </w:t>
      </w:r>
      <w:proofErr w:type="spellStart"/>
      <w:r w:rsidRPr="001444BA">
        <w:rPr>
          <w:rFonts w:ascii="Times New Roman" w:hAnsi="Times New Roman" w:cs="Times New Roman"/>
          <w:sz w:val="20"/>
          <w:szCs w:val="20"/>
        </w:rPr>
        <w:t>Shen</w:t>
      </w:r>
      <w:proofErr w:type="spellEnd"/>
      <w:r w:rsidRPr="001444BA">
        <w:rPr>
          <w:rFonts w:ascii="Times New Roman" w:hAnsi="Times New Roman" w:cs="Times New Roman"/>
          <w:sz w:val="20"/>
          <w:szCs w:val="20"/>
        </w:rPr>
        <w:t>, Y. (2025).</w:t>
      </w:r>
      <w:proofErr w:type="gramEnd"/>
      <w:r w:rsidRPr="001444BA">
        <w:rPr>
          <w:rFonts w:ascii="Times New Roman" w:hAnsi="Times New Roman" w:cs="Times New Roman"/>
          <w:sz w:val="20"/>
          <w:szCs w:val="20"/>
        </w:rPr>
        <w:t xml:space="preserve"> The Secretary-General's dilemma: Political capital and mediation risk. Global Governance, 31(1), 55–74.</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Ikenberry</w:t>
      </w:r>
      <w:proofErr w:type="spellEnd"/>
      <w:r w:rsidRPr="001444BA">
        <w:rPr>
          <w:rFonts w:ascii="Times New Roman" w:hAnsi="Times New Roman" w:cs="Times New Roman"/>
          <w:sz w:val="20"/>
          <w:szCs w:val="20"/>
        </w:rPr>
        <w:t>, G. J. (2023). Liberal order in the balance: Ukraine and the future of international order. Foreign Affairs, 102(3), 20–34.</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Keohane</w:t>
      </w:r>
      <w:proofErr w:type="spellEnd"/>
      <w:r w:rsidRPr="001444BA">
        <w:rPr>
          <w:rFonts w:ascii="Times New Roman" w:hAnsi="Times New Roman" w:cs="Times New Roman"/>
          <w:sz w:val="20"/>
          <w:szCs w:val="20"/>
        </w:rPr>
        <w:t>, R. O., &amp; Martin, L. L. (2023).</w:t>
      </w:r>
      <w:proofErr w:type="gramEnd"/>
      <w:r w:rsidRPr="001444BA">
        <w:rPr>
          <w:rFonts w:ascii="Times New Roman" w:hAnsi="Times New Roman" w:cs="Times New Roman"/>
          <w:sz w:val="20"/>
          <w:szCs w:val="20"/>
        </w:rPr>
        <w:t xml:space="preserve"> Institutional theory as a research program in international relations (Rev. </w:t>
      </w:r>
      <w:proofErr w:type="gramStart"/>
      <w:r w:rsidRPr="001444BA">
        <w:rPr>
          <w:rFonts w:ascii="Times New Roman" w:hAnsi="Times New Roman" w:cs="Times New Roman"/>
          <w:sz w:val="20"/>
          <w:szCs w:val="20"/>
        </w:rPr>
        <w:t>ed</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Princeton University Press.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Kostakos</w:t>
      </w:r>
      <w:proofErr w:type="spellEnd"/>
      <w:r w:rsidRPr="001444BA">
        <w:rPr>
          <w:rFonts w:ascii="Times New Roman" w:hAnsi="Times New Roman" w:cs="Times New Roman"/>
          <w:sz w:val="20"/>
          <w:szCs w:val="20"/>
        </w:rPr>
        <w:t>, G. (2023). The United Nations and the war in Ukraine: Diplomatic limits and humanitarian relevance. International Peacekeeping, 30(4), 501–520.</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Kubko</w:t>
      </w:r>
      <w:proofErr w:type="spellEnd"/>
      <w:r w:rsidRPr="001444BA">
        <w:rPr>
          <w:rFonts w:ascii="Times New Roman" w:hAnsi="Times New Roman" w:cs="Times New Roman"/>
          <w:sz w:val="20"/>
          <w:szCs w:val="20"/>
        </w:rPr>
        <w:t xml:space="preserve">, E. (2025). </w:t>
      </w:r>
      <w:proofErr w:type="gramStart"/>
      <w:r w:rsidRPr="001444BA">
        <w:rPr>
          <w:rFonts w:ascii="Times New Roman" w:hAnsi="Times New Roman" w:cs="Times New Roman"/>
          <w:sz w:val="20"/>
          <w:szCs w:val="20"/>
        </w:rPr>
        <w:t>Reforming the Security Council veto after Ukraine: Prospects and pitfalls.</w:t>
      </w:r>
      <w:proofErr w:type="gramEnd"/>
      <w:r w:rsidRPr="001444BA">
        <w:rPr>
          <w:rFonts w:ascii="Times New Roman" w:hAnsi="Times New Roman" w:cs="Times New Roman"/>
          <w:sz w:val="20"/>
          <w:szCs w:val="20"/>
        </w:rPr>
        <w:t xml:space="preserve"> European Journal of International Law, 36(1), 89–110.</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Kuznetsova</w:t>
      </w:r>
      <w:proofErr w:type="spellEnd"/>
      <w:r w:rsidRPr="001444BA">
        <w:rPr>
          <w:rFonts w:ascii="Times New Roman" w:hAnsi="Times New Roman" w:cs="Times New Roman"/>
          <w:sz w:val="20"/>
          <w:szCs w:val="20"/>
        </w:rPr>
        <w:t xml:space="preserve">, I., &amp; </w:t>
      </w:r>
      <w:proofErr w:type="spellStart"/>
      <w:r w:rsidRPr="001444BA">
        <w:rPr>
          <w:rFonts w:ascii="Times New Roman" w:hAnsi="Times New Roman" w:cs="Times New Roman"/>
          <w:sz w:val="20"/>
          <w:szCs w:val="20"/>
        </w:rPr>
        <w:t>Kaczmarska</w:t>
      </w:r>
      <w:proofErr w:type="spellEnd"/>
      <w:r w:rsidRPr="001444BA">
        <w:rPr>
          <w:rFonts w:ascii="Times New Roman" w:hAnsi="Times New Roman" w:cs="Times New Roman"/>
          <w:sz w:val="20"/>
          <w:szCs w:val="20"/>
        </w:rPr>
        <w:t>, K. (2023).</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Ukraine's diplomatic strategy amid Western dependence.</w:t>
      </w:r>
      <w:proofErr w:type="gramEnd"/>
      <w:r w:rsidRPr="001444BA">
        <w:rPr>
          <w:rFonts w:ascii="Times New Roman" w:hAnsi="Times New Roman" w:cs="Times New Roman"/>
          <w:sz w:val="20"/>
          <w:szCs w:val="20"/>
        </w:rPr>
        <w:t xml:space="preserve"> Europe-Asia Studies, 75(6), 901–920.</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Likarchuk</w:t>
      </w:r>
      <w:proofErr w:type="spellEnd"/>
      <w:r w:rsidRPr="001444BA">
        <w:rPr>
          <w:rFonts w:ascii="Times New Roman" w:hAnsi="Times New Roman" w:cs="Times New Roman"/>
          <w:sz w:val="20"/>
          <w:szCs w:val="20"/>
        </w:rPr>
        <w:t xml:space="preserve">, N., </w:t>
      </w:r>
      <w:proofErr w:type="spellStart"/>
      <w:r w:rsidRPr="001444BA">
        <w:rPr>
          <w:rFonts w:ascii="Times New Roman" w:hAnsi="Times New Roman" w:cs="Times New Roman"/>
          <w:sz w:val="20"/>
          <w:szCs w:val="20"/>
        </w:rPr>
        <w:t>Ivanova</w:t>
      </w:r>
      <w:proofErr w:type="spellEnd"/>
      <w:r w:rsidRPr="001444BA">
        <w:rPr>
          <w:rFonts w:ascii="Times New Roman" w:hAnsi="Times New Roman" w:cs="Times New Roman"/>
          <w:sz w:val="20"/>
          <w:szCs w:val="20"/>
        </w:rPr>
        <w:t xml:space="preserve">, O., &amp; </w:t>
      </w:r>
      <w:proofErr w:type="spellStart"/>
      <w:r w:rsidRPr="001444BA">
        <w:rPr>
          <w:rFonts w:ascii="Times New Roman" w:hAnsi="Times New Roman" w:cs="Times New Roman"/>
          <w:sz w:val="20"/>
          <w:szCs w:val="20"/>
        </w:rPr>
        <w:t>Petrenko</w:t>
      </w:r>
      <w:proofErr w:type="spellEnd"/>
      <w:r w:rsidRPr="001444BA">
        <w:rPr>
          <w:rFonts w:ascii="Times New Roman" w:hAnsi="Times New Roman" w:cs="Times New Roman"/>
          <w:sz w:val="20"/>
          <w:szCs w:val="20"/>
        </w:rPr>
        <w:t>, D. (2022).</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 xml:space="preserve">The Secretary-General's mediation capital in great-power </w:t>
      </w:r>
      <w:r w:rsidRPr="001444BA">
        <w:rPr>
          <w:rFonts w:ascii="Times New Roman" w:hAnsi="Times New Roman" w:cs="Times New Roman"/>
          <w:sz w:val="20"/>
          <w:szCs w:val="20"/>
        </w:rPr>
        <w:lastRenderedPageBreak/>
        <w:t>disputes.</w:t>
      </w:r>
      <w:proofErr w:type="gramEnd"/>
      <w:r w:rsidRPr="001444BA">
        <w:rPr>
          <w:rFonts w:ascii="Times New Roman" w:hAnsi="Times New Roman" w:cs="Times New Roman"/>
          <w:sz w:val="20"/>
          <w:szCs w:val="20"/>
        </w:rPr>
        <w:t xml:space="preserve"> </w:t>
      </w:r>
      <w:proofErr w:type="spellStart"/>
      <w:r w:rsidRPr="001444BA">
        <w:rPr>
          <w:rFonts w:ascii="Times New Roman" w:hAnsi="Times New Roman" w:cs="Times New Roman"/>
          <w:sz w:val="20"/>
          <w:szCs w:val="20"/>
        </w:rPr>
        <w:t>Studia</w:t>
      </w:r>
      <w:proofErr w:type="spellEnd"/>
      <w:r w:rsidRPr="001444BA">
        <w:rPr>
          <w:rFonts w:ascii="Times New Roman" w:hAnsi="Times New Roman" w:cs="Times New Roman"/>
          <w:sz w:val="20"/>
          <w:szCs w:val="20"/>
        </w:rPr>
        <w:t xml:space="preserve"> </w:t>
      </w:r>
      <w:proofErr w:type="spellStart"/>
      <w:r w:rsidRPr="001444BA">
        <w:rPr>
          <w:rFonts w:ascii="Times New Roman" w:hAnsi="Times New Roman" w:cs="Times New Roman"/>
          <w:sz w:val="20"/>
          <w:szCs w:val="20"/>
        </w:rPr>
        <w:t>Diplomatica</w:t>
      </w:r>
      <w:proofErr w:type="spellEnd"/>
      <w:r w:rsidRPr="001444BA">
        <w:rPr>
          <w:rFonts w:ascii="Times New Roman" w:hAnsi="Times New Roman" w:cs="Times New Roman"/>
          <w:sz w:val="20"/>
          <w:szCs w:val="20"/>
        </w:rPr>
        <w:t>, 74(2), 15–33.</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Mearsheimer</w:t>
      </w:r>
      <w:proofErr w:type="spellEnd"/>
      <w:r w:rsidRPr="001444BA">
        <w:rPr>
          <w:rFonts w:ascii="Times New Roman" w:hAnsi="Times New Roman" w:cs="Times New Roman"/>
          <w:sz w:val="20"/>
          <w:szCs w:val="20"/>
        </w:rPr>
        <w:t xml:space="preserve">, J. J. (2018). The great delusion: Liberal dreams and international realities. </w:t>
      </w:r>
      <w:proofErr w:type="gramStart"/>
      <w:r w:rsidRPr="001444BA">
        <w:rPr>
          <w:rFonts w:ascii="Times New Roman" w:hAnsi="Times New Roman" w:cs="Times New Roman"/>
          <w:sz w:val="20"/>
          <w:szCs w:val="20"/>
        </w:rPr>
        <w:t>Yale University Press.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Mearsheimer</w:t>
      </w:r>
      <w:proofErr w:type="spellEnd"/>
      <w:r w:rsidRPr="001444BA">
        <w:rPr>
          <w:rFonts w:ascii="Times New Roman" w:hAnsi="Times New Roman" w:cs="Times New Roman"/>
          <w:sz w:val="20"/>
          <w:szCs w:val="20"/>
        </w:rPr>
        <w:t xml:space="preserve">, J. J. (2021, September). </w:t>
      </w:r>
      <w:proofErr w:type="gramStart"/>
      <w:r w:rsidRPr="001444BA">
        <w:rPr>
          <w:rFonts w:ascii="Times New Roman" w:hAnsi="Times New Roman" w:cs="Times New Roman"/>
          <w:sz w:val="20"/>
          <w:szCs w:val="20"/>
        </w:rPr>
        <w:t>Bound to fail: The rise and fall of the liberal international order.</w:t>
      </w:r>
      <w:proofErr w:type="gramEnd"/>
      <w:r w:rsidRPr="001444BA">
        <w:rPr>
          <w:rFonts w:ascii="Times New Roman" w:hAnsi="Times New Roman" w:cs="Times New Roman"/>
          <w:sz w:val="20"/>
          <w:szCs w:val="20"/>
        </w:rPr>
        <w:t xml:space="preserve"> International Security, 43(4), 7–50.</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Mearsheimer</w:t>
      </w:r>
      <w:proofErr w:type="spellEnd"/>
      <w:r w:rsidRPr="001444BA">
        <w:rPr>
          <w:rFonts w:ascii="Times New Roman" w:hAnsi="Times New Roman" w:cs="Times New Roman"/>
          <w:sz w:val="20"/>
          <w:szCs w:val="20"/>
        </w:rPr>
        <w:t xml:space="preserve">, J. J. (2023). </w:t>
      </w:r>
      <w:proofErr w:type="gramStart"/>
      <w:r w:rsidRPr="001444BA">
        <w:rPr>
          <w:rFonts w:ascii="Times New Roman" w:hAnsi="Times New Roman" w:cs="Times New Roman"/>
          <w:sz w:val="20"/>
          <w:szCs w:val="20"/>
        </w:rPr>
        <w:t>The causes and consequences of the Ukraine war.</w:t>
      </w:r>
      <w:proofErr w:type="gramEnd"/>
      <w:r w:rsidRPr="001444BA">
        <w:rPr>
          <w:rFonts w:ascii="Times New Roman" w:hAnsi="Times New Roman" w:cs="Times New Roman"/>
          <w:sz w:val="20"/>
          <w:szCs w:val="20"/>
        </w:rPr>
        <w:t xml:space="preserve"> Horizons: Journal of International Relations and Sustainable Development, 24, 12–27.</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Murithi</w:t>
      </w:r>
      <w:proofErr w:type="spellEnd"/>
      <w:r w:rsidRPr="001444BA">
        <w:rPr>
          <w:rFonts w:ascii="Times New Roman" w:hAnsi="Times New Roman" w:cs="Times New Roman"/>
          <w:sz w:val="20"/>
          <w:szCs w:val="20"/>
        </w:rPr>
        <w:t>, T. (2022).</w:t>
      </w:r>
      <w:proofErr w:type="gramEnd"/>
      <w:r w:rsidRPr="001444BA">
        <w:rPr>
          <w:rFonts w:ascii="Times New Roman" w:hAnsi="Times New Roman" w:cs="Times New Roman"/>
          <w:sz w:val="20"/>
          <w:szCs w:val="20"/>
        </w:rPr>
        <w:t xml:space="preserve"> The United Nations and great-power politics: Lessons from the Ukraine crisis. Journal of International Peacekeeping, 26(2), 210–232.</w:t>
      </w:r>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Office for the Coordination of Humanitarian Affairs (OCHA).</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(2023). Ukraine humanitarian needs and response overview 2023.</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Office of the United Nations High Commissioner for Human Rights (OHCHR).</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(2023). Report of the Independent International Commission of Inquiry on Ukraine.</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Office of the United Nations High Commissioner for Human Rights (OHCHR).</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(2024). Update report on the human rights situation in Ukraine.</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lastRenderedPageBreak/>
        <w:t>Özdilek</w:t>
      </w:r>
      <w:proofErr w:type="spellEnd"/>
      <w:r w:rsidRPr="001444BA">
        <w:rPr>
          <w:rFonts w:ascii="Times New Roman" w:hAnsi="Times New Roman" w:cs="Times New Roman"/>
          <w:sz w:val="20"/>
          <w:szCs w:val="20"/>
        </w:rPr>
        <w:t>, B. U. (2025). Article 99 revisited: The Secretary-General's good offices in an era of great-power confrontation. Global Policy, 16(1), 33–48.</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Peters, A. (2023). </w:t>
      </w:r>
      <w:proofErr w:type="gramStart"/>
      <w:r w:rsidRPr="001444BA">
        <w:rPr>
          <w:rFonts w:ascii="Times New Roman" w:hAnsi="Times New Roman" w:cs="Times New Roman"/>
          <w:sz w:val="20"/>
          <w:szCs w:val="20"/>
        </w:rPr>
        <w:t>The Security Council veto and the erosion of collective security.</w:t>
      </w:r>
      <w:proofErr w:type="gramEnd"/>
      <w:r w:rsidRPr="001444BA">
        <w:rPr>
          <w:rFonts w:ascii="Times New Roman" w:hAnsi="Times New Roman" w:cs="Times New Roman"/>
          <w:sz w:val="20"/>
          <w:szCs w:val="20"/>
        </w:rPr>
        <w:t xml:space="preserve"> Max Planck Yearbook of United Nations Law, 26, 1–40.</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Reuters. (2022, March 2). Russia dismisses UN vote as "political pantomime."</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Reuters. (2022b, March 29). Ukraine and Russia hold direct talks in Istanbul.</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Reuters. (2023, February 24). China unveils twelve-point peace plan for Ukraine.</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Reuters. (2023c, April 17). Brazil's Lula proposes "peace club" of neutral nations on Ukraine.</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Reuters. (2023d, March 17). ICC issues arrest warrant for Putin over Ukraine child deportations.</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Reuters. (2025, June 15). Russia absent as Ukraine peace summit convenes in Switzerland.</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Reva</w:t>
      </w:r>
      <w:proofErr w:type="spellEnd"/>
      <w:r w:rsidRPr="001444BA">
        <w:rPr>
          <w:rFonts w:ascii="Times New Roman" w:hAnsi="Times New Roman" w:cs="Times New Roman"/>
          <w:sz w:val="20"/>
          <w:szCs w:val="20"/>
        </w:rPr>
        <w:t xml:space="preserve">, D., &amp; Singh, P. (2023, June 23). </w:t>
      </w:r>
      <w:proofErr w:type="gramStart"/>
      <w:r w:rsidRPr="001444BA">
        <w:rPr>
          <w:rFonts w:ascii="Times New Roman" w:hAnsi="Times New Roman" w:cs="Times New Roman"/>
          <w:sz w:val="20"/>
          <w:szCs w:val="20"/>
        </w:rPr>
        <w:t>Understanding the roots of the Russia-Ukraine war.</w:t>
      </w:r>
      <w:proofErr w:type="gramEnd"/>
      <w:r w:rsidRPr="001444BA">
        <w:rPr>
          <w:rFonts w:ascii="Times New Roman" w:hAnsi="Times New Roman" w:cs="Times New Roman"/>
          <w:sz w:val="20"/>
          <w:szCs w:val="20"/>
        </w:rPr>
        <w:t xml:space="preserve"> Institute for Security Studies.</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Setiawan</w:t>
      </w:r>
      <w:proofErr w:type="spellEnd"/>
      <w:r w:rsidRPr="001444BA">
        <w:rPr>
          <w:rFonts w:ascii="Times New Roman" w:hAnsi="Times New Roman" w:cs="Times New Roman"/>
          <w:sz w:val="20"/>
          <w:szCs w:val="20"/>
        </w:rPr>
        <w:t xml:space="preserve">, K. (2024). From Hammarskjöld to </w:t>
      </w:r>
      <w:proofErr w:type="spellStart"/>
      <w:r w:rsidRPr="001444BA">
        <w:rPr>
          <w:rFonts w:ascii="Times New Roman" w:hAnsi="Times New Roman" w:cs="Times New Roman"/>
          <w:sz w:val="20"/>
          <w:szCs w:val="20"/>
        </w:rPr>
        <w:t>Guterres</w:t>
      </w:r>
      <w:proofErr w:type="spellEnd"/>
      <w:r w:rsidRPr="001444BA">
        <w:rPr>
          <w:rFonts w:ascii="Times New Roman" w:hAnsi="Times New Roman" w:cs="Times New Roman"/>
          <w:sz w:val="20"/>
          <w:szCs w:val="20"/>
        </w:rPr>
        <w:t>: The evolution of UN mediation practice. Diplomacy &amp; Statecraft, 35(1), 101–124.</w:t>
      </w:r>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lastRenderedPageBreak/>
        <w:t>Smith, N. R., &amp; Dawson, G. (2022).</w:t>
      </w:r>
      <w:proofErr w:type="gramEnd"/>
      <w:r w:rsidRPr="001444BA">
        <w:rPr>
          <w:rFonts w:ascii="Times New Roman" w:hAnsi="Times New Roman" w:cs="Times New Roman"/>
          <w:sz w:val="20"/>
          <w:szCs w:val="20"/>
        </w:rPr>
        <w:t xml:space="preserve"> Sovereignty, norms and the Russia-Ukraine war: A constructivist reading. International Politics, 59(6), 1015–1034.</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Stuenkel</w:t>
      </w:r>
      <w:proofErr w:type="spellEnd"/>
      <w:r w:rsidRPr="001444BA">
        <w:rPr>
          <w:rFonts w:ascii="Times New Roman" w:hAnsi="Times New Roman" w:cs="Times New Roman"/>
          <w:sz w:val="20"/>
          <w:szCs w:val="20"/>
        </w:rPr>
        <w:t>, O. (2024). The arrival of the multiplex world: Ukraine and the redistribution of global power. Global Affairs, 10(1), 5–21.</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Suardi</w:t>
      </w:r>
      <w:proofErr w:type="spellEnd"/>
      <w:r w:rsidRPr="001444BA">
        <w:rPr>
          <w:rFonts w:ascii="Times New Roman" w:hAnsi="Times New Roman" w:cs="Times New Roman"/>
          <w:sz w:val="20"/>
          <w:szCs w:val="20"/>
        </w:rPr>
        <w:t xml:space="preserve">, D., </w:t>
      </w:r>
      <w:proofErr w:type="spellStart"/>
      <w:r w:rsidRPr="001444BA">
        <w:rPr>
          <w:rFonts w:ascii="Times New Roman" w:hAnsi="Times New Roman" w:cs="Times New Roman"/>
          <w:sz w:val="20"/>
          <w:szCs w:val="20"/>
        </w:rPr>
        <w:t>Nuzulian</w:t>
      </w:r>
      <w:proofErr w:type="spellEnd"/>
      <w:r w:rsidRPr="001444BA">
        <w:rPr>
          <w:rFonts w:ascii="Times New Roman" w:hAnsi="Times New Roman" w:cs="Times New Roman"/>
          <w:sz w:val="20"/>
          <w:szCs w:val="20"/>
        </w:rPr>
        <w:t xml:space="preserve">, A., &amp; </w:t>
      </w:r>
      <w:proofErr w:type="spellStart"/>
      <w:r w:rsidRPr="001444BA">
        <w:rPr>
          <w:rFonts w:ascii="Times New Roman" w:hAnsi="Times New Roman" w:cs="Times New Roman"/>
          <w:sz w:val="20"/>
          <w:szCs w:val="20"/>
        </w:rPr>
        <w:t>Olifiani</w:t>
      </w:r>
      <w:proofErr w:type="spellEnd"/>
      <w:r w:rsidRPr="001444BA">
        <w:rPr>
          <w:rFonts w:ascii="Times New Roman" w:hAnsi="Times New Roman" w:cs="Times New Roman"/>
          <w:sz w:val="20"/>
          <w:szCs w:val="20"/>
        </w:rPr>
        <w:t>, R. (2024).</w:t>
      </w:r>
      <w:proofErr w:type="gramEnd"/>
      <w:r w:rsidRPr="001444BA">
        <w:rPr>
          <w:rFonts w:ascii="Times New Roman" w:hAnsi="Times New Roman" w:cs="Times New Roman"/>
          <w:sz w:val="20"/>
          <w:szCs w:val="20"/>
        </w:rPr>
        <w:t xml:space="preserve"> Veto politics and the Minsk agreements: A precedent for Ukraine. Journal of Eastern European Security Studies, 8(2), 77–95.</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Timiyan</w:t>
      </w:r>
      <w:proofErr w:type="spellEnd"/>
      <w:r w:rsidRPr="001444BA">
        <w:rPr>
          <w:rFonts w:ascii="Times New Roman" w:hAnsi="Times New Roman" w:cs="Times New Roman"/>
          <w:sz w:val="20"/>
          <w:szCs w:val="20"/>
        </w:rPr>
        <w:t xml:space="preserve">, T., </w:t>
      </w:r>
      <w:proofErr w:type="spellStart"/>
      <w:r w:rsidRPr="001444BA">
        <w:rPr>
          <w:rFonts w:ascii="Times New Roman" w:hAnsi="Times New Roman" w:cs="Times New Roman"/>
          <w:sz w:val="20"/>
          <w:szCs w:val="20"/>
        </w:rPr>
        <w:t>Esekumenu</w:t>
      </w:r>
      <w:proofErr w:type="spellEnd"/>
      <w:r w:rsidRPr="001444BA">
        <w:rPr>
          <w:rFonts w:ascii="Times New Roman" w:hAnsi="Times New Roman" w:cs="Times New Roman"/>
          <w:sz w:val="20"/>
          <w:szCs w:val="20"/>
        </w:rPr>
        <w:t xml:space="preserve">, V., &amp; </w:t>
      </w:r>
      <w:proofErr w:type="spellStart"/>
      <w:r w:rsidRPr="001444BA">
        <w:rPr>
          <w:rFonts w:ascii="Times New Roman" w:hAnsi="Times New Roman" w:cs="Times New Roman"/>
          <w:sz w:val="20"/>
          <w:szCs w:val="20"/>
        </w:rPr>
        <w:t>Sanubi</w:t>
      </w:r>
      <w:proofErr w:type="spellEnd"/>
      <w:r w:rsidRPr="001444BA">
        <w:rPr>
          <w:rFonts w:ascii="Times New Roman" w:hAnsi="Times New Roman" w:cs="Times New Roman"/>
          <w:sz w:val="20"/>
          <w:szCs w:val="20"/>
        </w:rPr>
        <w:t>, F. (2024).</w:t>
      </w:r>
      <w:proofErr w:type="gramEnd"/>
      <w:r w:rsidRPr="001444BA">
        <w:rPr>
          <w:rFonts w:ascii="Times New Roman" w:hAnsi="Times New Roman" w:cs="Times New Roman"/>
          <w:sz w:val="20"/>
          <w:szCs w:val="20"/>
        </w:rPr>
        <w:t xml:space="preserve"> The United Nations and great-power war: Assessing mediation failure in Ukraine. African Journal of International Relations, 27(1), 95–118.</w:t>
      </w:r>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United Nations.</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(1945). Charter of the 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UN General Assembly. (2022). Resolution ES-11/1: Aggression against Ukraine (A/RES/ES-11/1).</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UN General Assembly. (2022b). Resolution ES-11/2: Humanitarian consequences of the aggression against Ukraine (A/RES/ES-11/2).</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UN General Assembly. (2023). Resolution ES-11/6: Furtherance of remedy and reparation for aggression against Ukraine (A/RES/ES-11/6).</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lastRenderedPageBreak/>
        <w:t xml:space="preserve">UN News. (2022a, February 24). </w:t>
      </w:r>
      <w:proofErr w:type="spellStart"/>
      <w:r w:rsidRPr="001444BA">
        <w:rPr>
          <w:rFonts w:ascii="Times New Roman" w:hAnsi="Times New Roman" w:cs="Times New Roman"/>
          <w:sz w:val="20"/>
          <w:szCs w:val="20"/>
        </w:rPr>
        <w:t>Guterres</w:t>
      </w:r>
      <w:proofErr w:type="spellEnd"/>
      <w:r w:rsidRPr="001444BA">
        <w:rPr>
          <w:rFonts w:ascii="Times New Roman" w:hAnsi="Times New Roman" w:cs="Times New Roman"/>
          <w:sz w:val="20"/>
          <w:szCs w:val="20"/>
        </w:rPr>
        <w:t xml:space="preserve"> condemns Russian military action against Ukraine.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UN News. (2022b, April 26). Secretary-General visits Moscow, calls for humanitarian corridors.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UN News. </w:t>
      </w:r>
      <w:proofErr w:type="gramStart"/>
      <w:r w:rsidRPr="001444BA">
        <w:rPr>
          <w:rFonts w:ascii="Times New Roman" w:hAnsi="Times New Roman" w:cs="Times New Roman"/>
          <w:sz w:val="20"/>
          <w:szCs w:val="20"/>
        </w:rPr>
        <w:t>(2022, various).</w:t>
      </w:r>
      <w:proofErr w:type="gramEnd"/>
      <w:r w:rsidRPr="001444BA">
        <w:rPr>
          <w:rFonts w:ascii="Times New Roman" w:hAnsi="Times New Roman" w:cs="Times New Roman"/>
          <w:sz w:val="20"/>
          <w:szCs w:val="20"/>
        </w:rPr>
        <w:t xml:space="preserve"> UN Secretary-General </w:t>
      </w:r>
      <w:proofErr w:type="gramStart"/>
      <w:r w:rsidRPr="001444BA">
        <w:rPr>
          <w:rFonts w:ascii="Times New Roman" w:hAnsi="Times New Roman" w:cs="Times New Roman"/>
          <w:sz w:val="20"/>
          <w:szCs w:val="20"/>
        </w:rPr>
        <w:t>statements</w:t>
      </w:r>
      <w:proofErr w:type="gramEnd"/>
      <w:r w:rsidRPr="001444BA">
        <w:rPr>
          <w:rFonts w:ascii="Times New Roman" w:hAnsi="Times New Roman" w:cs="Times New Roman"/>
          <w:sz w:val="20"/>
          <w:szCs w:val="20"/>
        </w:rPr>
        <w:t xml:space="preserve"> on the Russian-Ukrainian war.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UN News. (2023, February 25). China's position on the Ukraine resolution explained.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UN Secretary-General &amp; Human Rights Council.</w:t>
      </w:r>
      <w:proofErr w:type="gramEnd"/>
      <w:r w:rsidRPr="001444BA">
        <w:rPr>
          <w:rFonts w:ascii="Times New Roman" w:hAnsi="Times New Roman" w:cs="Times New Roman"/>
          <w:sz w:val="20"/>
          <w:szCs w:val="20"/>
        </w:rPr>
        <w:t xml:space="preserve"> (2023). Report on the human rights situation in Ukraine.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UN Security Council.</w:t>
      </w:r>
      <w:proofErr w:type="gramEnd"/>
      <w:r w:rsidRPr="001444BA">
        <w:rPr>
          <w:rFonts w:ascii="Times New Roman" w:hAnsi="Times New Roman" w:cs="Times New Roman"/>
          <w:sz w:val="20"/>
          <w:szCs w:val="20"/>
        </w:rPr>
        <w:t xml:space="preserve"> (2022a, February 25). Security Council fails to adopt resolution on Ukraine as Russian Federation wields veto (SC/14808). </w:t>
      </w:r>
      <w:proofErr w:type="gramStart"/>
      <w:r w:rsidRPr="001444BA">
        <w:rPr>
          <w:rFonts w:ascii="Times New Roman" w:hAnsi="Times New Roman" w:cs="Times New Roman"/>
          <w:sz w:val="20"/>
          <w:szCs w:val="20"/>
        </w:rPr>
        <w:t>United Nations.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UNHCR.</w:t>
      </w:r>
      <w:proofErr w:type="gramEnd"/>
      <w:r w:rsidRPr="001444BA">
        <w:rPr>
          <w:rFonts w:ascii="Times New Roman" w:hAnsi="Times New Roman" w:cs="Times New Roman"/>
          <w:sz w:val="20"/>
          <w:szCs w:val="20"/>
        </w:rPr>
        <w:t xml:space="preserve"> (2023). Ukraine situation: Regional refugee response plan. </w:t>
      </w:r>
      <w:proofErr w:type="gramStart"/>
      <w:r w:rsidRPr="001444BA">
        <w:rPr>
          <w:rFonts w:ascii="Times New Roman" w:hAnsi="Times New Roman" w:cs="Times New Roman"/>
          <w:sz w:val="20"/>
          <w:szCs w:val="20"/>
        </w:rPr>
        <w:t>United Nations High Commissioner for Refugees.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Unufe</w:t>
      </w:r>
      <w:proofErr w:type="spellEnd"/>
      <w:r w:rsidRPr="001444BA">
        <w:rPr>
          <w:rFonts w:ascii="Times New Roman" w:hAnsi="Times New Roman" w:cs="Times New Roman"/>
          <w:sz w:val="20"/>
          <w:szCs w:val="20"/>
        </w:rPr>
        <w:t xml:space="preserve">, K. (2024). </w:t>
      </w:r>
      <w:proofErr w:type="gramStart"/>
      <w:r w:rsidRPr="001444BA">
        <w:rPr>
          <w:rFonts w:ascii="Times New Roman" w:hAnsi="Times New Roman" w:cs="Times New Roman"/>
          <w:sz w:val="20"/>
          <w:szCs w:val="20"/>
        </w:rPr>
        <w:t>Ad hoc diplomacy and the crisis of UN mediation in the Russia-Ukraine war.</w:t>
      </w:r>
      <w:proofErr w:type="gramEnd"/>
      <w:r w:rsidRPr="001444BA">
        <w:rPr>
          <w:rFonts w:ascii="Times New Roman" w:hAnsi="Times New Roman" w:cs="Times New Roman"/>
          <w:sz w:val="20"/>
          <w:szCs w:val="20"/>
        </w:rPr>
        <w:t xml:space="preserve"> Conflict, Security &amp; Development, 24(1), 1–24.</w:t>
      </w:r>
    </w:p>
    <w:p w:rsidR="001753CA" w:rsidRPr="001444BA" w:rsidRDefault="001753CA" w:rsidP="001753CA">
      <w:pPr>
        <w:spacing w:line="276" w:lineRule="auto"/>
        <w:ind w:left="720" w:hanging="720"/>
        <w:rPr>
          <w:rFonts w:ascii="Times New Roman" w:hAnsi="Times New Roman" w:cs="Times New Roman"/>
          <w:sz w:val="20"/>
          <w:szCs w:val="20"/>
        </w:rPr>
      </w:pPr>
      <w:proofErr w:type="spellStart"/>
      <w:proofErr w:type="gramStart"/>
      <w:r w:rsidRPr="001444BA">
        <w:rPr>
          <w:rFonts w:ascii="Times New Roman" w:hAnsi="Times New Roman" w:cs="Times New Roman"/>
          <w:sz w:val="20"/>
          <w:szCs w:val="20"/>
        </w:rPr>
        <w:t>Unufe</w:t>
      </w:r>
      <w:proofErr w:type="spellEnd"/>
      <w:r w:rsidRPr="001444BA">
        <w:rPr>
          <w:rFonts w:ascii="Times New Roman" w:hAnsi="Times New Roman" w:cs="Times New Roman"/>
          <w:sz w:val="20"/>
          <w:szCs w:val="20"/>
        </w:rPr>
        <w:t xml:space="preserve">, K., &amp; </w:t>
      </w:r>
      <w:proofErr w:type="spellStart"/>
      <w:r w:rsidRPr="001444BA">
        <w:rPr>
          <w:rFonts w:ascii="Times New Roman" w:hAnsi="Times New Roman" w:cs="Times New Roman"/>
          <w:sz w:val="20"/>
          <w:szCs w:val="20"/>
        </w:rPr>
        <w:t>Osarumwense</w:t>
      </w:r>
      <w:proofErr w:type="spellEnd"/>
      <w:r w:rsidRPr="001444BA">
        <w:rPr>
          <w:rFonts w:ascii="Times New Roman" w:hAnsi="Times New Roman" w:cs="Times New Roman"/>
          <w:sz w:val="20"/>
          <w:szCs w:val="20"/>
        </w:rPr>
        <w:t>, D. (2024).</w:t>
      </w:r>
      <w:proofErr w:type="gramEnd"/>
      <w:r w:rsidRPr="001444BA">
        <w:rPr>
          <w:rFonts w:ascii="Times New Roman" w:hAnsi="Times New Roman" w:cs="Times New Roman"/>
          <w:sz w:val="20"/>
          <w:szCs w:val="20"/>
        </w:rPr>
        <w:t xml:space="preserve"> Toward inclusive multilateral </w:t>
      </w:r>
      <w:proofErr w:type="spellStart"/>
      <w:r w:rsidRPr="001444BA">
        <w:rPr>
          <w:rFonts w:ascii="Times New Roman" w:hAnsi="Times New Roman" w:cs="Times New Roman"/>
          <w:sz w:val="20"/>
          <w:szCs w:val="20"/>
        </w:rPr>
        <w:t>peacemaking</w:t>
      </w:r>
      <w:proofErr w:type="spellEnd"/>
      <w:r w:rsidRPr="001444BA">
        <w:rPr>
          <w:rFonts w:ascii="Times New Roman" w:hAnsi="Times New Roman" w:cs="Times New Roman"/>
          <w:sz w:val="20"/>
          <w:szCs w:val="20"/>
        </w:rPr>
        <w:t xml:space="preserve">: Lessons from the </w:t>
      </w:r>
      <w:r w:rsidRPr="001444BA">
        <w:rPr>
          <w:rFonts w:ascii="Times New Roman" w:hAnsi="Times New Roman" w:cs="Times New Roman"/>
          <w:sz w:val="20"/>
          <w:szCs w:val="20"/>
        </w:rPr>
        <w:lastRenderedPageBreak/>
        <w:t xml:space="preserve">Russia-Ukraine conflict. </w:t>
      </w:r>
      <w:proofErr w:type="spellStart"/>
      <w:r w:rsidRPr="001444BA">
        <w:rPr>
          <w:rFonts w:ascii="Times New Roman" w:hAnsi="Times New Roman" w:cs="Times New Roman"/>
          <w:sz w:val="20"/>
          <w:szCs w:val="20"/>
        </w:rPr>
        <w:t>Peacebuilding</w:t>
      </w:r>
      <w:proofErr w:type="spellEnd"/>
      <w:r w:rsidRPr="001444BA">
        <w:rPr>
          <w:rFonts w:ascii="Times New Roman" w:hAnsi="Times New Roman" w:cs="Times New Roman"/>
          <w:sz w:val="20"/>
          <w:szCs w:val="20"/>
        </w:rPr>
        <w:t>, 12(3), 210–229.</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Weiss, T. G., &amp; Daws, S. (Eds.). (2018). The Oxford handbook on the United Nations (2nd </w:t>
      </w:r>
      <w:proofErr w:type="gramStart"/>
      <w:r w:rsidRPr="001444BA">
        <w:rPr>
          <w:rFonts w:ascii="Times New Roman" w:hAnsi="Times New Roman" w:cs="Times New Roman"/>
          <w:sz w:val="20"/>
          <w:szCs w:val="20"/>
        </w:rPr>
        <w:t>ed</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Oxford University Press.</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Wendt, A. (1999). </w:t>
      </w:r>
      <w:proofErr w:type="gramStart"/>
      <w:r w:rsidRPr="001444BA">
        <w:rPr>
          <w:rFonts w:ascii="Times New Roman" w:hAnsi="Times New Roman" w:cs="Times New Roman"/>
          <w:sz w:val="20"/>
          <w:szCs w:val="20"/>
        </w:rPr>
        <w:t>Social theory of international politics.</w:t>
      </w:r>
      <w:proofErr w:type="gramEnd"/>
      <w:r w:rsidRPr="001444BA">
        <w:rPr>
          <w:rFonts w:ascii="Times New Roman" w:hAnsi="Times New Roman" w:cs="Times New Roman"/>
          <w:sz w:val="20"/>
          <w:szCs w:val="20"/>
        </w:rPr>
        <w:t xml:space="preserve"> </w:t>
      </w:r>
      <w:proofErr w:type="gramStart"/>
      <w:r w:rsidRPr="001444BA">
        <w:rPr>
          <w:rFonts w:ascii="Times New Roman" w:hAnsi="Times New Roman" w:cs="Times New Roman"/>
          <w:sz w:val="20"/>
          <w:szCs w:val="20"/>
        </w:rPr>
        <w:t>Cambridge University Press.</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World Food Programme (WFP). (2023). Black Sea Grain Initiative: Impact assessment. </w:t>
      </w:r>
      <w:proofErr w:type="gramStart"/>
      <w:r w:rsidRPr="001444BA">
        <w:rPr>
          <w:rFonts w:ascii="Times New Roman" w:hAnsi="Times New Roman" w:cs="Times New Roman"/>
          <w:sz w:val="20"/>
          <w:szCs w:val="20"/>
        </w:rPr>
        <w:t>United Nations World Food Programme.</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gramStart"/>
      <w:r w:rsidRPr="001444BA">
        <w:rPr>
          <w:rFonts w:ascii="Times New Roman" w:hAnsi="Times New Roman" w:cs="Times New Roman"/>
          <w:sz w:val="20"/>
          <w:szCs w:val="20"/>
        </w:rPr>
        <w:t>Zagreb Security Forum.</w:t>
      </w:r>
      <w:proofErr w:type="gramEnd"/>
      <w:r w:rsidRPr="001444BA">
        <w:rPr>
          <w:rFonts w:ascii="Times New Roman" w:hAnsi="Times New Roman" w:cs="Times New Roman"/>
          <w:sz w:val="20"/>
          <w:szCs w:val="20"/>
        </w:rPr>
        <w:t xml:space="preserve"> (2023). </w:t>
      </w:r>
      <w:proofErr w:type="gramStart"/>
      <w:r w:rsidRPr="001444BA">
        <w:rPr>
          <w:rFonts w:ascii="Times New Roman" w:hAnsi="Times New Roman" w:cs="Times New Roman"/>
          <w:sz w:val="20"/>
          <w:szCs w:val="20"/>
        </w:rPr>
        <w:t>Multilateral</w:t>
      </w:r>
      <w:proofErr w:type="gramEnd"/>
      <w:r w:rsidRPr="001444BA">
        <w:rPr>
          <w:rFonts w:ascii="Times New Roman" w:hAnsi="Times New Roman" w:cs="Times New Roman"/>
          <w:sz w:val="20"/>
          <w:szCs w:val="20"/>
        </w:rPr>
        <w:t xml:space="preserve"> diplomacy under strain: The UN and the Ukraine war. </w:t>
      </w:r>
      <w:proofErr w:type="gramStart"/>
      <w:r w:rsidRPr="001444BA">
        <w:rPr>
          <w:rFonts w:ascii="Times New Roman" w:hAnsi="Times New Roman" w:cs="Times New Roman"/>
          <w:sz w:val="20"/>
          <w:szCs w:val="20"/>
        </w:rPr>
        <w:t>Zagreb Security Forum Proceedings.</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Zartman</w:t>
      </w:r>
      <w:proofErr w:type="spellEnd"/>
      <w:r w:rsidRPr="001444BA">
        <w:rPr>
          <w:rFonts w:ascii="Times New Roman" w:hAnsi="Times New Roman" w:cs="Times New Roman"/>
          <w:sz w:val="20"/>
          <w:szCs w:val="20"/>
        </w:rPr>
        <w:t xml:space="preserve">, I. W. (2008). Negotiation and conflict management: Essays on theory and practice. </w:t>
      </w:r>
      <w:proofErr w:type="spellStart"/>
      <w:proofErr w:type="gramStart"/>
      <w:r w:rsidRPr="001444BA">
        <w:rPr>
          <w:rFonts w:ascii="Times New Roman" w:hAnsi="Times New Roman" w:cs="Times New Roman"/>
          <w:sz w:val="20"/>
          <w:szCs w:val="20"/>
        </w:rPr>
        <w:t>Routledge</w:t>
      </w:r>
      <w:proofErr w:type="spellEnd"/>
      <w:r w:rsidRPr="001444BA">
        <w:rPr>
          <w:rFonts w:ascii="Times New Roman" w:hAnsi="Times New Roman" w:cs="Times New Roman"/>
          <w:sz w:val="20"/>
          <w:szCs w:val="20"/>
        </w:rPr>
        <w:t>.</w:t>
      </w:r>
      <w:proofErr w:type="gramEnd"/>
    </w:p>
    <w:p w:rsidR="001753CA" w:rsidRPr="001444BA" w:rsidRDefault="001753CA" w:rsidP="001753CA">
      <w:pPr>
        <w:spacing w:line="276" w:lineRule="auto"/>
        <w:ind w:left="720" w:hanging="720"/>
        <w:rPr>
          <w:rFonts w:ascii="Times New Roman" w:hAnsi="Times New Roman" w:cs="Times New Roman"/>
          <w:sz w:val="20"/>
          <w:szCs w:val="20"/>
        </w:rPr>
      </w:pPr>
      <w:proofErr w:type="spellStart"/>
      <w:r w:rsidRPr="001444BA">
        <w:rPr>
          <w:rFonts w:ascii="Times New Roman" w:hAnsi="Times New Roman" w:cs="Times New Roman"/>
          <w:sz w:val="20"/>
          <w:szCs w:val="20"/>
        </w:rPr>
        <w:t>Zartman</w:t>
      </w:r>
      <w:proofErr w:type="spellEnd"/>
      <w:r w:rsidRPr="001444BA">
        <w:rPr>
          <w:rFonts w:ascii="Times New Roman" w:hAnsi="Times New Roman" w:cs="Times New Roman"/>
          <w:sz w:val="20"/>
          <w:szCs w:val="20"/>
        </w:rPr>
        <w:t xml:space="preserve">, I. W., &amp; </w:t>
      </w:r>
      <w:proofErr w:type="spellStart"/>
      <w:r w:rsidRPr="001444BA">
        <w:rPr>
          <w:rFonts w:ascii="Times New Roman" w:hAnsi="Times New Roman" w:cs="Times New Roman"/>
          <w:sz w:val="20"/>
          <w:szCs w:val="20"/>
        </w:rPr>
        <w:t>Touval</w:t>
      </w:r>
      <w:proofErr w:type="spellEnd"/>
      <w:r w:rsidRPr="001444BA">
        <w:rPr>
          <w:rFonts w:ascii="Times New Roman" w:hAnsi="Times New Roman" w:cs="Times New Roman"/>
          <w:sz w:val="20"/>
          <w:szCs w:val="20"/>
        </w:rPr>
        <w:t xml:space="preserve">, S. (2022). International mediation: Conflict resolution and power politics (2nd </w:t>
      </w:r>
      <w:proofErr w:type="gramStart"/>
      <w:r w:rsidRPr="001444BA">
        <w:rPr>
          <w:rFonts w:ascii="Times New Roman" w:hAnsi="Times New Roman" w:cs="Times New Roman"/>
          <w:sz w:val="20"/>
          <w:szCs w:val="20"/>
        </w:rPr>
        <w:t>ed</w:t>
      </w:r>
      <w:proofErr w:type="gramEnd"/>
      <w:r w:rsidRPr="001444BA">
        <w:rPr>
          <w:rFonts w:ascii="Times New Roman" w:hAnsi="Times New Roman" w:cs="Times New Roman"/>
          <w:sz w:val="20"/>
          <w:szCs w:val="20"/>
        </w:rPr>
        <w:t xml:space="preserve">.). </w:t>
      </w:r>
      <w:proofErr w:type="spellStart"/>
      <w:proofErr w:type="gramStart"/>
      <w:r w:rsidRPr="001444BA">
        <w:rPr>
          <w:rFonts w:ascii="Times New Roman" w:hAnsi="Times New Roman" w:cs="Times New Roman"/>
          <w:sz w:val="20"/>
          <w:szCs w:val="20"/>
        </w:rPr>
        <w:t>Rowman</w:t>
      </w:r>
      <w:proofErr w:type="spellEnd"/>
      <w:r w:rsidRPr="001444BA">
        <w:rPr>
          <w:rFonts w:ascii="Times New Roman" w:hAnsi="Times New Roman" w:cs="Times New Roman"/>
          <w:sz w:val="20"/>
          <w:szCs w:val="20"/>
        </w:rPr>
        <w:t xml:space="preserve"> &amp; Littlefield.</w:t>
      </w:r>
      <w:proofErr w:type="gramEnd"/>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Ziegler, C. E. (2023). </w:t>
      </w:r>
      <w:proofErr w:type="gramStart"/>
      <w:r w:rsidRPr="001444BA">
        <w:rPr>
          <w:rFonts w:ascii="Times New Roman" w:hAnsi="Times New Roman" w:cs="Times New Roman"/>
          <w:sz w:val="20"/>
          <w:szCs w:val="20"/>
        </w:rPr>
        <w:t>Great-power competition and the future of the UN Security Council.</w:t>
      </w:r>
      <w:proofErr w:type="gramEnd"/>
      <w:r w:rsidRPr="001444BA">
        <w:rPr>
          <w:rFonts w:ascii="Times New Roman" w:hAnsi="Times New Roman" w:cs="Times New Roman"/>
          <w:sz w:val="20"/>
          <w:szCs w:val="20"/>
        </w:rPr>
        <w:t xml:space="preserve"> Contemporary Security Policy, 44(2), 199–221.</w:t>
      </w:r>
    </w:p>
    <w:p w:rsidR="001753CA" w:rsidRPr="001444BA" w:rsidRDefault="001753CA" w:rsidP="001753CA">
      <w:pPr>
        <w:spacing w:line="276" w:lineRule="auto"/>
        <w:ind w:left="720" w:hanging="720"/>
        <w:rPr>
          <w:rFonts w:ascii="Times New Roman" w:hAnsi="Times New Roman" w:cs="Times New Roman"/>
          <w:sz w:val="20"/>
          <w:szCs w:val="20"/>
        </w:rPr>
      </w:pPr>
      <w:r w:rsidRPr="001444BA">
        <w:rPr>
          <w:rFonts w:ascii="Times New Roman" w:hAnsi="Times New Roman" w:cs="Times New Roman"/>
          <w:sz w:val="20"/>
          <w:szCs w:val="20"/>
        </w:rPr>
        <w:t xml:space="preserve">Ziegler, C. E. (2025). </w:t>
      </w:r>
      <w:proofErr w:type="gramStart"/>
      <w:r w:rsidRPr="001444BA">
        <w:rPr>
          <w:rFonts w:ascii="Times New Roman" w:hAnsi="Times New Roman" w:cs="Times New Roman"/>
          <w:sz w:val="20"/>
          <w:szCs w:val="20"/>
        </w:rPr>
        <w:t>Reforming collective security after Ukraine.</w:t>
      </w:r>
      <w:proofErr w:type="gramEnd"/>
      <w:r w:rsidRPr="001444BA">
        <w:rPr>
          <w:rFonts w:ascii="Times New Roman" w:hAnsi="Times New Roman" w:cs="Times New Roman"/>
          <w:sz w:val="20"/>
          <w:szCs w:val="20"/>
        </w:rPr>
        <w:t xml:space="preserve"> International Affairs, 101(1), 61–80.</w:t>
      </w:r>
    </w:p>
    <w:p w:rsidR="00A4768C" w:rsidRPr="006B1D4D" w:rsidRDefault="00A4768C" w:rsidP="001753CA">
      <w:pPr>
        <w:spacing w:after="120" w:line="276" w:lineRule="auto"/>
        <w:jc w:val="both"/>
        <w:rPr>
          <w:rFonts w:ascii="Times New Roman" w:hAnsi="Times New Roman" w:cs="Times New Roman"/>
          <w:sz w:val="20"/>
          <w:szCs w:val="20"/>
        </w:rPr>
      </w:pPr>
    </w:p>
    <w:sectPr w:rsidR="00A4768C" w:rsidRPr="006B1D4D" w:rsidSect="00A4768C">
      <w:type w:val="nextColumn"/>
      <w:pgSz w:w="9639" w:h="13608" w:code="9"/>
      <w:pgMar w:top="1077" w:right="1304" w:bottom="2155" w:left="630" w:header="709" w:footer="288" w:gutter="0"/>
      <w:pgBorders w:offsetFrom="page">
        <w:top w:val="single" w:sz="4" w:space="24" w:color="auto"/>
        <w:left w:val="single" w:sz="4" w:space="24" w:color="auto"/>
        <w:bottom w:val="single" w:sz="4" w:space="24" w:color="auto"/>
        <w:right w:val="single" w:sz="4" w:space="24" w:color="auto"/>
      </w:pgBorders>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E27" w:rsidRDefault="00712E27" w:rsidP="00D77185">
      <w:pPr>
        <w:spacing w:after="0" w:line="240" w:lineRule="auto"/>
      </w:pPr>
      <w:r>
        <w:separator/>
      </w:r>
    </w:p>
  </w:endnote>
  <w:endnote w:type="continuationSeparator" w:id="0">
    <w:p w:rsidR="00712E27" w:rsidRDefault="00712E27" w:rsidP="00D77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12F" w:rsidRPr="00A31F9E" w:rsidRDefault="002C412F" w:rsidP="002C412F">
    <w:pPr>
      <w:pStyle w:val="Footer"/>
      <w:ind w:firstLine="0"/>
      <w:rPr>
        <w:b/>
        <w:szCs w:val="22"/>
        <w:lang w:val="sk-SK"/>
      </w:rPr>
    </w:pPr>
    <w:r w:rsidRPr="00EB178E">
      <w:rPr>
        <w:b/>
        <w:szCs w:val="22"/>
      </w:rPr>
      <w:fldChar w:fldCharType="begin"/>
    </w:r>
    <w:r w:rsidRPr="00EB178E">
      <w:rPr>
        <w:b/>
        <w:szCs w:val="22"/>
      </w:rPr>
      <w:instrText>PAGE   \* MERGEFORMAT</w:instrText>
    </w:r>
    <w:r w:rsidRPr="00EB178E">
      <w:rPr>
        <w:b/>
        <w:szCs w:val="22"/>
      </w:rPr>
      <w:fldChar w:fldCharType="separate"/>
    </w:r>
    <w:r w:rsidRPr="00F12D0B">
      <w:rPr>
        <w:b/>
        <w:noProof/>
        <w:szCs w:val="22"/>
        <w:lang w:val="sk-SK"/>
      </w:rPr>
      <w:t>4</w:t>
    </w:r>
    <w:r w:rsidRPr="00EB178E">
      <w:rPr>
        <w:b/>
        <w:szCs w:val="22"/>
      </w:rPr>
      <w:fldChar w:fldCharType="end"/>
    </w:r>
    <w:r>
      <w:rPr>
        <w:b/>
        <w:szCs w:val="22"/>
      </w:rPr>
      <w:t>Slovak Journal</w:t>
    </w:r>
    <w:r w:rsidRPr="00EB178E">
      <w:rPr>
        <w:b/>
        <w:szCs w:val="22"/>
      </w:rPr>
      <w:t xml:space="preserve"> of Political </w:t>
    </w:r>
    <w:r>
      <w:rPr>
        <w:b/>
        <w:szCs w:val="22"/>
      </w:rPr>
      <w:t>Sciences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eastAsia="Times New Roman" w:hAnsi="Cambria" w:cs="Times New Roman"/>
        <w:color w:val="auto"/>
        <w:kern w:val="0"/>
        <w:szCs w:val="24"/>
        <w:lang w:val="uk-UA" w:eastAsia="uk-UA"/>
        <w14:ligatures w14:val="none"/>
      </w:rPr>
      <w:id w:val="1961752221"/>
      <w:docPartObj>
        <w:docPartGallery w:val="Page Numbers (Bottom of Page)"/>
        <w:docPartUnique/>
      </w:docPartObj>
    </w:sdtPr>
    <w:sdtEndPr>
      <w:rPr>
        <w:noProof/>
      </w:rPr>
    </w:sdtEndPr>
    <w:sdtContent>
      <w:p w:rsidR="005A2D2A" w:rsidRPr="00CB686C" w:rsidRDefault="002C412F" w:rsidP="00CB686C">
        <w:pPr>
          <w:spacing w:line="276" w:lineRule="auto"/>
          <w:jc w:val="center"/>
          <w:rPr>
            <w:rFonts w:ascii="Times New Roman" w:hAnsi="Times New Roman" w:cs="Times New Roman"/>
            <w:b/>
            <w:bCs/>
            <w:szCs w:val="20"/>
          </w:rPr>
        </w:pPr>
        <w:r>
          <w:rPr>
            <w:b/>
            <w:lang w:val="sk-SK"/>
          </w:rPr>
          <w:t xml:space="preserve">JPIR VOL 2 NO 3  (2026)     </w:t>
        </w:r>
        <w:r w:rsidR="00CB686C">
          <w:rPr>
            <w:b/>
            <w:lang w:val="sk-SK"/>
          </w:rPr>
          <w:t xml:space="preserve">          </w:t>
        </w:r>
        <w:r w:rsidR="006731D9">
          <w:rPr>
            <w:b/>
            <w:lang w:val="sk-SK"/>
          </w:rPr>
          <w:t xml:space="preserve">    </w:t>
        </w:r>
        <w:r w:rsidR="00AC7D6F">
          <w:rPr>
            <w:b/>
            <w:lang w:val="sk-SK"/>
          </w:rPr>
          <w:t xml:space="preserve">         </w:t>
        </w:r>
        <w:r w:rsidR="006731D9">
          <w:rPr>
            <w:b/>
            <w:lang w:val="sk-SK"/>
          </w:rPr>
          <w:t xml:space="preserve">  </w:t>
        </w:r>
        <w:r w:rsidR="00CB686C">
          <w:rPr>
            <w:b/>
            <w:lang w:val="sk-SK"/>
          </w:rPr>
          <w:t xml:space="preserve">       </w:t>
        </w:r>
        <w:r w:rsidR="001753CA">
          <w:rPr>
            <w:b/>
            <w:lang w:val="sk-SK"/>
          </w:rPr>
          <w:t xml:space="preserve">Q.A. </w:t>
        </w:r>
        <w:r w:rsidR="001753CA" w:rsidRPr="001444BA">
          <w:rPr>
            <w:rFonts w:ascii="Times New Roman" w:hAnsi="Times New Roman"/>
            <w:b/>
            <w:bCs/>
            <w:sz w:val="20"/>
            <w:szCs w:val="20"/>
          </w:rPr>
          <w:t>ESUOLA</w:t>
        </w:r>
        <w:r w:rsidR="001753CA">
          <w:rPr>
            <w:rFonts w:ascii="Times New Roman" w:hAnsi="Times New Roman" w:cs="Times New Roman"/>
            <w:b/>
            <w:sz w:val="20"/>
            <w:szCs w:val="20"/>
          </w:rPr>
          <w:t xml:space="preserve"> </w:t>
        </w:r>
        <w:r w:rsidR="00AC7D6F">
          <w:rPr>
            <w:rFonts w:ascii="Times New Roman" w:hAnsi="Times New Roman" w:cs="Times New Roman"/>
            <w:b/>
            <w:sz w:val="20"/>
            <w:szCs w:val="20"/>
          </w:rPr>
          <w:t xml:space="preserve">and </w:t>
        </w:r>
        <w:r w:rsidR="001753CA">
          <w:rPr>
            <w:rFonts w:ascii="Times New Roman" w:hAnsi="Times New Roman" w:cs="Times New Roman"/>
            <w:b/>
            <w:sz w:val="20"/>
            <w:szCs w:val="20"/>
          </w:rPr>
          <w:t xml:space="preserve">W. EHWARIEME </w:t>
        </w:r>
        <w:r w:rsidR="00AC7D6F">
          <w:rPr>
            <w:rFonts w:ascii="Times New Roman" w:hAnsi="Times New Roman" w:cs="Times New Roman"/>
            <w:b/>
            <w:sz w:val="20"/>
            <w:szCs w:val="20"/>
          </w:rPr>
          <w:t>PhD</w:t>
        </w:r>
      </w:p>
      <w:p w:rsidR="002C412F" w:rsidRPr="00634E84" w:rsidRDefault="002C412F" w:rsidP="003204A1">
        <w:pPr>
          <w:autoSpaceDE w:val="0"/>
          <w:autoSpaceDN w:val="0"/>
          <w:adjustRightInd w:val="0"/>
          <w:spacing w:after="0"/>
          <w:jc w:val="center"/>
          <w:rPr>
            <w:rFonts w:ascii="Times New Roman" w:hAnsi="Times New Roman" w:cs="Times New Roman"/>
            <w:b/>
            <w:sz w:val="20"/>
            <w:szCs w:val="20"/>
          </w:rPr>
        </w:pPr>
      </w:p>
      <w:p w:rsidR="002C412F" w:rsidRPr="0019434A" w:rsidRDefault="002C412F" w:rsidP="003204A1">
        <w:pPr>
          <w:pStyle w:val="Footer"/>
          <w:pBdr>
            <w:top w:val="thinThickSmallGap" w:sz="24" w:space="1" w:color="622423" w:themeColor="accent2" w:themeShade="7F"/>
          </w:pBdr>
          <w:jc w:val="center"/>
          <w:rPr>
            <w:rFonts w:asciiTheme="majorHAnsi" w:eastAsiaTheme="majorEastAsia" w:hAnsiTheme="majorHAnsi" w:cstheme="majorBidi"/>
            <w:lang w:val="en-US"/>
          </w:rPr>
        </w:pPr>
        <w:r>
          <w:rPr>
            <w:rFonts w:asciiTheme="majorHAnsi" w:eastAsiaTheme="majorEastAsia" w:hAnsiTheme="majorHAnsi" w:cstheme="majorBidi"/>
            <w:lang w:val="en-US"/>
          </w:rPr>
          <w:t xml:space="preserve">                                                                 </w:t>
        </w:r>
      </w:p>
      <w:p w:rsidR="002C412F" w:rsidRDefault="002C412F">
        <w:pPr>
          <w:pStyle w:val="Footer"/>
          <w:jc w:val="right"/>
        </w:pPr>
        <w:r>
          <w:fldChar w:fldCharType="begin"/>
        </w:r>
        <w:r>
          <w:instrText xml:space="preserve"> PAGE   \* MERGEFORMAT </w:instrText>
        </w:r>
        <w:r>
          <w:fldChar w:fldCharType="separate"/>
        </w:r>
        <w:r w:rsidR="00A940EF">
          <w:rPr>
            <w:noProof/>
          </w:rPr>
          <w:t>171</w:t>
        </w:r>
        <w:r>
          <w:rPr>
            <w:noProof/>
          </w:rPr>
          <w:fldChar w:fldCharType="end"/>
        </w:r>
      </w:p>
    </w:sdtContent>
  </w:sdt>
  <w:p w:rsidR="002C412F" w:rsidRDefault="002C412F" w:rsidP="002C412F">
    <w:pPr>
      <w:pStyle w:val="Footer"/>
      <w:ind w:firstLine="0"/>
      <w:rPr>
        <w:b/>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E27" w:rsidRDefault="00712E27" w:rsidP="00D77185">
      <w:pPr>
        <w:spacing w:after="0" w:line="240" w:lineRule="auto"/>
      </w:pPr>
      <w:r>
        <w:separator/>
      </w:r>
    </w:p>
  </w:footnote>
  <w:footnote w:type="continuationSeparator" w:id="0">
    <w:p w:rsidR="00712E27" w:rsidRDefault="00712E27" w:rsidP="00D77185">
      <w:pPr>
        <w:spacing w:after="0" w:line="240" w:lineRule="auto"/>
      </w:pPr>
      <w:r>
        <w:continuationSeparator/>
      </w:r>
    </w:p>
  </w:footnote>
  <w:footnote w:id="1">
    <w:p w:rsidR="001753CA" w:rsidRPr="00C4196D" w:rsidRDefault="001753CA" w:rsidP="001753CA">
      <w:pPr>
        <w:spacing w:after="120" w:line="276" w:lineRule="auto"/>
        <w:rPr>
          <w:rFonts w:ascii="Times New Roman" w:hAnsi="Times New Roman" w:cs="Times New Roman"/>
          <w:b/>
          <w:bCs/>
          <w:sz w:val="20"/>
          <w:szCs w:val="20"/>
        </w:rPr>
      </w:pPr>
      <w:r w:rsidRPr="00A4768C">
        <w:rPr>
          <w:rStyle w:val="FootnoteReference"/>
          <w:b/>
        </w:rPr>
        <w:footnoteRef/>
      </w:r>
      <w:r w:rsidRPr="00A4768C">
        <w:rPr>
          <w:rFonts w:ascii="Times New Roman" w:hAnsi="Times New Roman" w:cs="Times New Roman"/>
          <w:b/>
          <w:sz w:val="20"/>
          <w:szCs w:val="20"/>
        </w:rPr>
        <w:t>Department of Political Science, Faculty of Social Sciences, Ajayi Crowther University, Oyo, Nigeria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12F" w:rsidRPr="00687BC4" w:rsidRDefault="002C412F" w:rsidP="002F4A40">
    <w:pPr>
      <w:pStyle w:val="Header"/>
      <w:jc w:val="center"/>
      <w:rPr>
        <w:b/>
        <w:lang w:val="sk-SK"/>
      </w:rPr>
    </w:pPr>
    <w:r w:rsidRPr="0033218F">
      <w:rPr>
        <w:b/>
        <w:color w:val="FF0000"/>
        <w:lang w:val="sk-SK"/>
      </w:rPr>
      <w:t>JOURNAL OF POLITICS AND INTERNATIONAL RELATIONS (JPIR)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65F951"/>
    <w:multiLevelType w:val="singleLevel"/>
    <w:tmpl w:val="8F65F951"/>
    <w:lvl w:ilvl="0">
      <w:start w:val="1"/>
      <w:numFmt w:val="decimal"/>
      <w:suff w:val="space"/>
      <w:lvlText w:val="%1."/>
      <w:lvlJc w:val="left"/>
    </w:lvl>
  </w:abstractNum>
  <w:abstractNum w:abstractNumId="1">
    <w:nsid w:val="EB17A579"/>
    <w:multiLevelType w:val="singleLevel"/>
    <w:tmpl w:val="EB17A579"/>
    <w:lvl w:ilvl="0">
      <w:start w:val="2015"/>
      <w:numFmt w:val="decimal"/>
      <w:lvlText w:val="%1"/>
      <w:lvlJc w:val="left"/>
      <w:pPr>
        <w:ind w:left="720" w:firstLine="0"/>
      </w:pPr>
    </w:lvl>
  </w:abstractNum>
  <w:abstractNum w:abstractNumId="2">
    <w:nsid w:val="00000004"/>
    <w:multiLevelType w:val="multilevel"/>
    <w:tmpl w:val="46E079D0"/>
    <w:lvl w:ilvl="0">
      <w:start w:val="1"/>
      <w:numFmt w:val="decimal"/>
      <w:lvlText w:val="%1."/>
      <w:lvlJc w:val="left"/>
      <w:pPr>
        <w:ind w:left="780" w:hanging="360"/>
      </w:pPr>
      <w:rPr>
        <w:rFonts w:hint="default"/>
      </w:rPr>
    </w:lvl>
    <w:lvl w:ilvl="1">
      <w:start w:val="3"/>
      <w:numFmt w:val="decimal"/>
      <w:isLgl/>
      <w:lvlText w:val="%1.%2"/>
      <w:lvlJc w:val="left"/>
      <w:pPr>
        <w:ind w:left="1320" w:hanging="900"/>
      </w:pPr>
      <w:rPr>
        <w:rFonts w:hint="default"/>
      </w:rPr>
    </w:lvl>
    <w:lvl w:ilvl="2">
      <w:start w:val="1"/>
      <w:numFmt w:val="decimal"/>
      <w:isLgl/>
      <w:lvlText w:val="%1.%2.%3"/>
      <w:lvlJc w:val="left"/>
      <w:pPr>
        <w:ind w:left="1320" w:hanging="900"/>
      </w:pPr>
      <w:rPr>
        <w:rFonts w:hint="default"/>
      </w:rPr>
    </w:lvl>
    <w:lvl w:ilvl="3">
      <w:start w:val="1"/>
      <w:numFmt w:val="decimal"/>
      <w:isLgl/>
      <w:lvlText w:val="%1.%2.%3.%4"/>
      <w:lvlJc w:val="left"/>
      <w:pPr>
        <w:ind w:left="1320" w:hanging="90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nsid w:val="00000009"/>
    <w:multiLevelType w:val="hybridMultilevel"/>
    <w:tmpl w:val="2D30DA72"/>
    <w:lvl w:ilvl="0" w:tplc="0409001B">
      <w:start w:val="1"/>
      <w:numFmt w:val="lowerRoman"/>
      <w:lvlText w:val="%1."/>
      <w:lvlJc w:val="right"/>
      <w:pPr>
        <w:ind w:left="921" w:hanging="360"/>
      </w:p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4">
    <w:nsid w:val="0000000B"/>
    <w:multiLevelType w:val="hybridMultilevel"/>
    <w:tmpl w:val="6166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D"/>
    <w:multiLevelType w:val="hybridMultilevel"/>
    <w:tmpl w:val="DD604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12"/>
    <w:multiLevelType w:val="hybridMultilevel"/>
    <w:tmpl w:val="730E5FC8"/>
    <w:lvl w:ilvl="0" w:tplc="6BAAE352">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7">
    <w:nsid w:val="00000013"/>
    <w:multiLevelType w:val="multilevel"/>
    <w:tmpl w:val="185A887A"/>
    <w:lvl w:ilvl="0">
      <w:start w:val="1"/>
      <w:numFmt w:val="decimal"/>
      <w:lvlText w:val="%1."/>
      <w:lvlJc w:val="left"/>
      <w:pPr>
        <w:ind w:left="720" w:hanging="360"/>
      </w:pPr>
    </w:lvl>
    <w:lvl w:ilvl="1">
      <w:start w:val="1"/>
      <w:numFmt w:val="decimal"/>
      <w:isLgl/>
      <w:lvlText w:val="%1.%2"/>
      <w:lvlJc w:val="left"/>
      <w:pPr>
        <w:ind w:left="900" w:hanging="540"/>
      </w:pPr>
      <w:rPr>
        <w:b/>
      </w:r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00000018"/>
    <w:multiLevelType w:val="hybridMultilevel"/>
    <w:tmpl w:val="01BE14E0"/>
    <w:lvl w:ilvl="0" w:tplc="AF76E692">
      <w:start w:val="1"/>
      <w:numFmt w:val="lowerRoman"/>
      <w:lvlText w:val="%1."/>
      <w:lvlJc w:val="left"/>
      <w:pPr>
        <w:ind w:left="1035" w:hanging="72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9">
    <w:nsid w:val="06FF1242"/>
    <w:multiLevelType w:val="hybridMultilevel"/>
    <w:tmpl w:val="4D82D2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F1614"/>
    <w:multiLevelType w:val="hybridMultilevel"/>
    <w:tmpl w:val="A30EE83E"/>
    <w:lvl w:ilvl="0" w:tplc="FDD09A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6A5F1B"/>
    <w:multiLevelType w:val="hybridMultilevel"/>
    <w:tmpl w:val="B6CAEDEE"/>
    <w:lvl w:ilvl="0" w:tplc="0809001B">
      <w:start w:val="1"/>
      <w:numFmt w:val="lowerRoman"/>
      <w:lvlText w:val="%1."/>
      <w:lvlJc w:val="right"/>
      <w:pPr>
        <w:ind w:left="1172" w:hanging="360"/>
      </w:pPr>
    </w:lvl>
    <w:lvl w:ilvl="1" w:tplc="04090019" w:tentative="1">
      <w:start w:val="1"/>
      <w:numFmt w:val="lowerLetter"/>
      <w:lvlText w:val="%2."/>
      <w:lvlJc w:val="left"/>
      <w:pPr>
        <w:ind w:left="1892" w:hanging="360"/>
      </w:pPr>
    </w:lvl>
    <w:lvl w:ilvl="2" w:tplc="0409001B" w:tentative="1">
      <w:start w:val="1"/>
      <w:numFmt w:val="lowerRoman"/>
      <w:lvlText w:val="%3."/>
      <w:lvlJc w:val="right"/>
      <w:pPr>
        <w:ind w:left="2612" w:hanging="180"/>
      </w:pPr>
    </w:lvl>
    <w:lvl w:ilvl="3" w:tplc="0409000F" w:tentative="1">
      <w:start w:val="1"/>
      <w:numFmt w:val="decimal"/>
      <w:lvlText w:val="%4."/>
      <w:lvlJc w:val="left"/>
      <w:pPr>
        <w:ind w:left="3332" w:hanging="360"/>
      </w:pPr>
    </w:lvl>
    <w:lvl w:ilvl="4" w:tplc="04090019" w:tentative="1">
      <w:start w:val="1"/>
      <w:numFmt w:val="lowerLetter"/>
      <w:lvlText w:val="%5."/>
      <w:lvlJc w:val="left"/>
      <w:pPr>
        <w:ind w:left="4052" w:hanging="360"/>
      </w:pPr>
    </w:lvl>
    <w:lvl w:ilvl="5" w:tplc="0409001B" w:tentative="1">
      <w:start w:val="1"/>
      <w:numFmt w:val="lowerRoman"/>
      <w:lvlText w:val="%6."/>
      <w:lvlJc w:val="right"/>
      <w:pPr>
        <w:ind w:left="4772" w:hanging="180"/>
      </w:pPr>
    </w:lvl>
    <w:lvl w:ilvl="6" w:tplc="0409000F" w:tentative="1">
      <w:start w:val="1"/>
      <w:numFmt w:val="decimal"/>
      <w:lvlText w:val="%7."/>
      <w:lvlJc w:val="left"/>
      <w:pPr>
        <w:ind w:left="5492" w:hanging="360"/>
      </w:pPr>
    </w:lvl>
    <w:lvl w:ilvl="7" w:tplc="04090019" w:tentative="1">
      <w:start w:val="1"/>
      <w:numFmt w:val="lowerLetter"/>
      <w:lvlText w:val="%8."/>
      <w:lvlJc w:val="left"/>
      <w:pPr>
        <w:ind w:left="6212" w:hanging="360"/>
      </w:pPr>
    </w:lvl>
    <w:lvl w:ilvl="8" w:tplc="0409001B" w:tentative="1">
      <w:start w:val="1"/>
      <w:numFmt w:val="lowerRoman"/>
      <w:lvlText w:val="%9."/>
      <w:lvlJc w:val="right"/>
      <w:pPr>
        <w:ind w:left="6932" w:hanging="180"/>
      </w:pPr>
    </w:lvl>
  </w:abstractNum>
  <w:abstractNum w:abstractNumId="12">
    <w:nsid w:val="203F519C"/>
    <w:multiLevelType w:val="hybridMultilevel"/>
    <w:tmpl w:val="CB74C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9E6ED7"/>
    <w:multiLevelType w:val="multilevel"/>
    <w:tmpl w:val="09C2CB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1EB7EF0"/>
    <w:multiLevelType w:val="multilevel"/>
    <w:tmpl w:val="0BF64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644633"/>
    <w:multiLevelType w:val="hybridMultilevel"/>
    <w:tmpl w:val="BC8A736C"/>
    <w:lvl w:ilvl="0" w:tplc="9B2A4808">
      <w:start w:val="1"/>
      <w:numFmt w:val="decimal"/>
      <w:lvlText w:val="%1."/>
      <w:lvlJc w:val="left"/>
      <w:pPr>
        <w:ind w:left="70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BD34229E">
      <w:start w:val="1"/>
      <w:numFmt w:val="lowerLetter"/>
      <w:lvlText w:val="%2"/>
      <w:lvlJc w:val="left"/>
      <w:pPr>
        <w:ind w:left="144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55F4036C">
      <w:start w:val="1"/>
      <w:numFmt w:val="lowerRoman"/>
      <w:lvlText w:val="%3"/>
      <w:lvlJc w:val="left"/>
      <w:pPr>
        <w:ind w:left="21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94200100">
      <w:start w:val="1"/>
      <w:numFmt w:val="decimal"/>
      <w:lvlText w:val="%4"/>
      <w:lvlJc w:val="left"/>
      <w:pPr>
        <w:ind w:left="28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B95A6B6C">
      <w:start w:val="1"/>
      <w:numFmt w:val="lowerLetter"/>
      <w:lvlText w:val="%5"/>
      <w:lvlJc w:val="left"/>
      <w:pPr>
        <w:ind w:left="36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653AF608">
      <w:start w:val="1"/>
      <w:numFmt w:val="lowerRoman"/>
      <w:lvlText w:val="%6"/>
      <w:lvlJc w:val="left"/>
      <w:pPr>
        <w:ind w:left="43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5B88FFCC">
      <w:start w:val="1"/>
      <w:numFmt w:val="decimal"/>
      <w:lvlText w:val="%7"/>
      <w:lvlJc w:val="left"/>
      <w:pPr>
        <w:ind w:left="504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D174F196">
      <w:start w:val="1"/>
      <w:numFmt w:val="lowerLetter"/>
      <w:lvlText w:val="%8"/>
      <w:lvlJc w:val="left"/>
      <w:pPr>
        <w:ind w:left="57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99AE4CA6">
      <w:start w:val="1"/>
      <w:numFmt w:val="lowerRoman"/>
      <w:lvlText w:val="%9"/>
      <w:lvlJc w:val="left"/>
      <w:pPr>
        <w:ind w:left="64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16">
    <w:nsid w:val="4CC44BD7"/>
    <w:multiLevelType w:val="hybridMultilevel"/>
    <w:tmpl w:val="71D457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E708C1"/>
    <w:multiLevelType w:val="hybridMultilevel"/>
    <w:tmpl w:val="02CC9C16"/>
    <w:lvl w:ilvl="0" w:tplc="C1EAD3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44164E"/>
    <w:multiLevelType w:val="multilevel"/>
    <w:tmpl w:val="5B44164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C0F7D03"/>
    <w:multiLevelType w:val="hybridMultilevel"/>
    <w:tmpl w:val="7ADCDFCA"/>
    <w:lvl w:ilvl="0" w:tplc="028040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6A62A9"/>
    <w:multiLevelType w:val="hybridMultilevel"/>
    <w:tmpl w:val="1CCE5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270725"/>
    <w:multiLevelType w:val="hybridMultilevel"/>
    <w:tmpl w:val="C4208972"/>
    <w:lvl w:ilvl="0" w:tplc="5A5E3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775295"/>
    <w:multiLevelType w:val="hybridMultilevel"/>
    <w:tmpl w:val="F75ABE1E"/>
    <w:lvl w:ilvl="0" w:tplc="2A569A94">
      <w:start w:val="9"/>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D33191"/>
    <w:multiLevelType w:val="multilevel"/>
    <w:tmpl w:val="6CD33191"/>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F347A94"/>
    <w:multiLevelType w:val="hybridMultilevel"/>
    <w:tmpl w:val="0E3429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0657BE"/>
    <w:multiLevelType w:val="multilevel"/>
    <w:tmpl w:val="740657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21"/>
  </w:num>
  <w:num w:numId="4">
    <w:abstractNumId w:val="10"/>
  </w:num>
  <w:num w:numId="5">
    <w:abstractNumId w:val="24"/>
  </w:num>
  <w:num w:numId="6">
    <w:abstractNumId w:val="12"/>
  </w:num>
  <w:num w:numId="7">
    <w:abstractNumId w:val="13"/>
  </w:num>
  <w:num w:numId="8">
    <w:abstractNumId w:val="20"/>
  </w:num>
  <w:num w:numId="9">
    <w:abstractNumId w:val="19"/>
  </w:num>
  <w:num w:numId="10">
    <w:abstractNumId w:val="22"/>
  </w:num>
  <w:num w:numId="11">
    <w:abstractNumId w:val="25"/>
  </w:num>
  <w:num w:numId="12">
    <w:abstractNumId w:val="23"/>
  </w:num>
  <w:num w:numId="13">
    <w:abstractNumId w:val="18"/>
  </w:num>
  <w:num w:numId="14">
    <w:abstractNumId w:val="16"/>
  </w:num>
  <w:num w:numId="15">
    <w:abstractNumId w:val="1"/>
  </w:num>
  <w:num w:numId="16">
    <w:abstractNumId w:val="4"/>
  </w:num>
  <w:num w:numId="17">
    <w:abstractNumId w:val="2"/>
  </w:num>
  <w:num w:numId="18">
    <w:abstractNumId w:val="5"/>
  </w:num>
  <w:num w:numId="19">
    <w:abstractNumId w:val="6"/>
  </w:num>
  <w:num w:numId="20">
    <w:abstractNumId w:val="8"/>
  </w:num>
  <w:num w:numId="21">
    <w:abstractNumId w:val="3"/>
  </w:num>
  <w:num w:numId="22">
    <w:abstractNumId w:val="11"/>
  </w:num>
  <w:num w:numId="23">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9"/>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185"/>
    <w:rsid w:val="00010170"/>
    <w:rsid w:val="00016C3B"/>
    <w:rsid w:val="00036636"/>
    <w:rsid w:val="0006667B"/>
    <w:rsid w:val="000953A8"/>
    <w:rsid w:val="000A2499"/>
    <w:rsid w:val="000B41C9"/>
    <w:rsid w:val="000B6FD3"/>
    <w:rsid w:val="000F57E6"/>
    <w:rsid w:val="00117407"/>
    <w:rsid w:val="00133F1D"/>
    <w:rsid w:val="00152047"/>
    <w:rsid w:val="001753CA"/>
    <w:rsid w:val="00192D43"/>
    <w:rsid w:val="0019434A"/>
    <w:rsid w:val="00196D18"/>
    <w:rsid w:val="001A780F"/>
    <w:rsid w:val="001B7AF3"/>
    <w:rsid w:val="001F528D"/>
    <w:rsid w:val="002026AC"/>
    <w:rsid w:val="00242760"/>
    <w:rsid w:val="002962C9"/>
    <w:rsid w:val="002A0364"/>
    <w:rsid w:val="002A6996"/>
    <w:rsid w:val="002C412F"/>
    <w:rsid w:val="002F4A40"/>
    <w:rsid w:val="00317ED4"/>
    <w:rsid w:val="00320207"/>
    <w:rsid w:val="003204A1"/>
    <w:rsid w:val="0033218F"/>
    <w:rsid w:val="00337429"/>
    <w:rsid w:val="00343C7E"/>
    <w:rsid w:val="00383F1D"/>
    <w:rsid w:val="00397446"/>
    <w:rsid w:val="00397C96"/>
    <w:rsid w:val="003B474C"/>
    <w:rsid w:val="003E4354"/>
    <w:rsid w:val="00464D08"/>
    <w:rsid w:val="00466FF1"/>
    <w:rsid w:val="00467323"/>
    <w:rsid w:val="00486357"/>
    <w:rsid w:val="00490E83"/>
    <w:rsid w:val="004C49D9"/>
    <w:rsid w:val="00504BB8"/>
    <w:rsid w:val="00511BA5"/>
    <w:rsid w:val="00512B42"/>
    <w:rsid w:val="00525A2C"/>
    <w:rsid w:val="00527979"/>
    <w:rsid w:val="00534E60"/>
    <w:rsid w:val="0053525D"/>
    <w:rsid w:val="0053636F"/>
    <w:rsid w:val="005503A1"/>
    <w:rsid w:val="00566AC0"/>
    <w:rsid w:val="0057186E"/>
    <w:rsid w:val="0059230B"/>
    <w:rsid w:val="005A2D2A"/>
    <w:rsid w:val="005B793F"/>
    <w:rsid w:val="005F085A"/>
    <w:rsid w:val="0060086D"/>
    <w:rsid w:val="00605955"/>
    <w:rsid w:val="00627FD9"/>
    <w:rsid w:val="00634E84"/>
    <w:rsid w:val="00642A6A"/>
    <w:rsid w:val="006731D9"/>
    <w:rsid w:val="00690059"/>
    <w:rsid w:val="0069036C"/>
    <w:rsid w:val="0069543B"/>
    <w:rsid w:val="006C2964"/>
    <w:rsid w:val="006C65A2"/>
    <w:rsid w:val="006E5CCF"/>
    <w:rsid w:val="006E5D06"/>
    <w:rsid w:val="00712E27"/>
    <w:rsid w:val="00721266"/>
    <w:rsid w:val="00741AD2"/>
    <w:rsid w:val="00743B0B"/>
    <w:rsid w:val="007762F5"/>
    <w:rsid w:val="007876B0"/>
    <w:rsid w:val="007A0577"/>
    <w:rsid w:val="007A4CD1"/>
    <w:rsid w:val="007E17E4"/>
    <w:rsid w:val="00805D62"/>
    <w:rsid w:val="008265CF"/>
    <w:rsid w:val="00877B97"/>
    <w:rsid w:val="008800DB"/>
    <w:rsid w:val="00882BB9"/>
    <w:rsid w:val="00886272"/>
    <w:rsid w:val="008958C6"/>
    <w:rsid w:val="008F2148"/>
    <w:rsid w:val="008F671C"/>
    <w:rsid w:val="009266BA"/>
    <w:rsid w:val="00981D0A"/>
    <w:rsid w:val="009C42DD"/>
    <w:rsid w:val="009C6477"/>
    <w:rsid w:val="009F3776"/>
    <w:rsid w:val="00A34A07"/>
    <w:rsid w:val="00A4768C"/>
    <w:rsid w:val="00A84495"/>
    <w:rsid w:val="00A87552"/>
    <w:rsid w:val="00A940EF"/>
    <w:rsid w:val="00AA773B"/>
    <w:rsid w:val="00AC7D6F"/>
    <w:rsid w:val="00AD62F5"/>
    <w:rsid w:val="00AF7222"/>
    <w:rsid w:val="00B02A88"/>
    <w:rsid w:val="00BA1D26"/>
    <w:rsid w:val="00BB50C7"/>
    <w:rsid w:val="00BB50F8"/>
    <w:rsid w:val="00BC5E07"/>
    <w:rsid w:val="00BD020F"/>
    <w:rsid w:val="00BD2D4F"/>
    <w:rsid w:val="00BF0240"/>
    <w:rsid w:val="00BF4780"/>
    <w:rsid w:val="00C019B1"/>
    <w:rsid w:val="00C31629"/>
    <w:rsid w:val="00C3170E"/>
    <w:rsid w:val="00C325A1"/>
    <w:rsid w:val="00C33C96"/>
    <w:rsid w:val="00C4196D"/>
    <w:rsid w:val="00C44E5F"/>
    <w:rsid w:val="00C45535"/>
    <w:rsid w:val="00C52940"/>
    <w:rsid w:val="00C9288F"/>
    <w:rsid w:val="00CB2273"/>
    <w:rsid w:val="00CB33C9"/>
    <w:rsid w:val="00CB64B8"/>
    <w:rsid w:val="00CB686C"/>
    <w:rsid w:val="00CC1F5E"/>
    <w:rsid w:val="00D03E64"/>
    <w:rsid w:val="00D05371"/>
    <w:rsid w:val="00D61012"/>
    <w:rsid w:val="00D7062A"/>
    <w:rsid w:val="00D761B2"/>
    <w:rsid w:val="00D77185"/>
    <w:rsid w:val="00D80465"/>
    <w:rsid w:val="00D851A4"/>
    <w:rsid w:val="00DC797B"/>
    <w:rsid w:val="00DD7C28"/>
    <w:rsid w:val="00DE264E"/>
    <w:rsid w:val="00E1049D"/>
    <w:rsid w:val="00E162D1"/>
    <w:rsid w:val="00E3500B"/>
    <w:rsid w:val="00E4549C"/>
    <w:rsid w:val="00E523AB"/>
    <w:rsid w:val="00E85D79"/>
    <w:rsid w:val="00EC2411"/>
    <w:rsid w:val="00EC6D3A"/>
    <w:rsid w:val="00EE06BD"/>
    <w:rsid w:val="00EE2709"/>
    <w:rsid w:val="00F02559"/>
    <w:rsid w:val="00F1457E"/>
    <w:rsid w:val="00F5333A"/>
    <w:rsid w:val="00F548E7"/>
    <w:rsid w:val="00F54D5B"/>
    <w:rsid w:val="00F716AF"/>
    <w:rsid w:val="00F762C3"/>
    <w:rsid w:val="00F95C24"/>
    <w:rsid w:val="00FB6658"/>
    <w:rsid w:val="00FC77F2"/>
    <w:rsid w:val="00FE0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185"/>
    <w:pPr>
      <w:spacing w:after="160" w:line="256" w:lineRule="auto"/>
    </w:pPr>
    <w:rPr>
      <w:rFonts w:ascii="Calibri" w:eastAsia="Calibri" w:hAnsi="Calibri" w:cs="Calibri"/>
      <w:color w:val="000000"/>
      <w:kern w:val="2"/>
      <w:lang w:val="en-GB" w:eastAsia="en-GB"/>
      <w14:ligatures w14:val="standardContextual"/>
    </w:rPr>
  </w:style>
  <w:style w:type="paragraph" w:styleId="Heading1">
    <w:name w:val="heading 1"/>
    <w:next w:val="Normal"/>
    <w:link w:val="Heading1Char"/>
    <w:uiPriority w:val="9"/>
    <w:qFormat/>
    <w:rsid w:val="00D77185"/>
    <w:pPr>
      <w:keepNext/>
      <w:keepLines/>
      <w:spacing w:after="252" w:line="256" w:lineRule="auto"/>
      <w:ind w:left="10" w:hanging="10"/>
      <w:outlineLvl w:val="0"/>
    </w:pPr>
    <w:rPr>
      <w:rFonts w:ascii="Times New Roman" w:eastAsia="Times New Roman" w:hAnsi="Times New Roman" w:cs="Times New Roman"/>
      <w:b/>
      <w:color w:val="000000"/>
      <w:kern w:val="2"/>
      <w:sz w:val="24"/>
      <w:lang w:val="en-GB" w:eastAsia="en-GB"/>
      <w14:ligatures w14:val="standardContextual"/>
    </w:rPr>
  </w:style>
  <w:style w:type="paragraph" w:styleId="Heading2">
    <w:name w:val="heading 2"/>
    <w:basedOn w:val="Normal"/>
    <w:next w:val="Normal"/>
    <w:link w:val="Heading2Char"/>
    <w:uiPriority w:val="9"/>
    <w:semiHidden/>
    <w:unhideWhenUsed/>
    <w:qFormat/>
    <w:rsid w:val="006E5D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185"/>
    <w:rPr>
      <w:rFonts w:ascii="Times New Roman" w:eastAsia="Times New Roman" w:hAnsi="Times New Roman" w:cs="Times New Roman"/>
      <w:b/>
      <w:color w:val="000000"/>
      <w:kern w:val="2"/>
      <w:sz w:val="24"/>
      <w:lang w:val="en-GB" w:eastAsia="en-GB"/>
      <w14:ligatures w14:val="standardContextual"/>
    </w:rPr>
  </w:style>
  <w:style w:type="paragraph" w:styleId="ListParagraph">
    <w:name w:val="List Paragraph"/>
    <w:basedOn w:val="Normal"/>
    <w:qFormat/>
    <w:rsid w:val="00D77185"/>
    <w:pPr>
      <w:ind w:left="720"/>
      <w:contextualSpacing/>
    </w:pPr>
  </w:style>
  <w:style w:type="character" w:styleId="Hyperlink">
    <w:name w:val="Hyperlink"/>
    <w:uiPriority w:val="99"/>
    <w:rsid w:val="00D77185"/>
    <w:rPr>
      <w:rFonts w:cs="Times New Roman"/>
      <w:color w:val="0000FF"/>
      <w:u w:val="single"/>
    </w:rPr>
  </w:style>
  <w:style w:type="paragraph" w:styleId="NormalWeb">
    <w:name w:val="Normal (Web)"/>
    <w:basedOn w:val="Normal"/>
    <w:uiPriority w:val="99"/>
    <w:qFormat/>
    <w:rsid w:val="00D77185"/>
    <w:pPr>
      <w:spacing w:before="100" w:beforeAutospacing="1" w:after="100" w:afterAutospacing="1" w:line="240" w:lineRule="auto"/>
      <w:ind w:firstLine="425"/>
      <w:jc w:val="both"/>
    </w:pPr>
    <w:rPr>
      <w:rFonts w:ascii="Cambria" w:eastAsia="MS Mincho" w:hAnsi="Cambria" w:cs="Times New Roman"/>
      <w:color w:val="auto"/>
      <w:kern w:val="0"/>
      <w:szCs w:val="24"/>
      <w:lang w:val="ru-RU" w:eastAsia="ja-JP"/>
      <w14:ligatures w14:val="none"/>
    </w:rPr>
  </w:style>
  <w:style w:type="paragraph" w:styleId="FootnoteText">
    <w:name w:val="footnote text"/>
    <w:basedOn w:val="Normal"/>
    <w:link w:val="FootnoteTextChar"/>
    <w:uiPriority w:val="99"/>
    <w:semiHidden/>
    <w:rsid w:val="00D77185"/>
    <w:pPr>
      <w:spacing w:after="0" w:line="240" w:lineRule="auto"/>
      <w:ind w:firstLine="425"/>
      <w:jc w:val="both"/>
    </w:pPr>
    <w:rPr>
      <w:rFonts w:ascii="Cambria" w:eastAsia="Times New Roman" w:hAnsi="Cambria" w:cs="Times New Roman"/>
      <w:color w:val="auto"/>
      <w:kern w:val="0"/>
      <w:sz w:val="20"/>
      <w:szCs w:val="20"/>
      <w:lang w:val="uk-UA" w:eastAsia="uk-UA"/>
      <w14:ligatures w14:val="none"/>
    </w:rPr>
  </w:style>
  <w:style w:type="character" w:customStyle="1" w:styleId="FootnoteTextChar">
    <w:name w:val="Footnote Text Char"/>
    <w:basedOn w:val="DefaultParagraphFont"/>
    <w:link w:val="FootnoteText"/>
    <w:uiPriority w:val="99"/>
    <w:semiHidden/>
    <w:rsid w:val="00D77185"/>
    <w:rPr>
      <w:rFonts w:ascii="Cambria" w:eastAsia="Times New Roman" w:hAnsi="Cambria" w:cs="Times New Roman"/>
      <w:sz w:val="20"/>
      <w:szCs w:val="20"/>
      <w:lang w:val="uk-UA" w:eastAsia="uk-UA"/>
    </w:rPr>
  </w:style>
  <w:style w:type="character" w:styleId="FootnoteReference">
    <w:name w:val="footnote reference"/>
    <w:uiPriority w:val="99"/>
    <w:semiHidden/>
    <w:rsid w:val="00D77185"/>
    <w:rPr>
      <w:rFonts w:cs="Times New Roman"/>
      <w:vertAlign w:val="superscript"/>
    </w:rPr>
  </w:style>
  <w:style w:type="paragraph" w:styleId="Header">
    <w:name w:val="header"/>
    <w:basedOn w:val="Normal"/>
    <w:link w:val="HeaderChar"/>
    <w:uiPriority w:val="99"/>
    <w:unhideWhenUsed/>
    <w:rsid w:val="00D77185"/>
    <w:pPr>
      <w:tabs>
        <w:tab w:val="center" w:pos="4536"/>
        <w:tab w:val="right" w:pos="9072"/>
      </w:tabs>
      <w:spacing w:after="0" w:line="240" w:lineRule="auto"/>
      <w:ind w:firstLine="425"/>
      <w:jc w:val="both"/>
    </w:pPr>
    <w:rPr>
      <w:rFonts w:ascii="Cambria" w:eastAsia="Times New Roman" w:hAnsi="Cambria" w:cs="Times New Roman"/>
      <w:color w:val="auto"/>
      <w:kern w:val="0"/>
      <w:szCs w:val="24"/>
      <w:lang w:val="uk-UA" w:eastAsia="uk-UA"/>
      <w14:ligatures w14:val="none"/>
    </w:rPr>
  </w:style>
  <w:style w:type="character" w:customStyle="1" w:styleId="HeaderChar">
    <w:name w:val="Header Char"/>
    <w:basedOn w:val="DefaultParagraphFont"/>
    <w:link w:val="Header"/>
    <w:uiPriority w:val="99"/>
    <w:rsid w:val="00D77185"/>
    <w:rPr>
      <w:rFonts w:ascii="Cambria" w:eastAsia="Times New Roman" w:hAnsi="Cambria" w:cs="Times New Roman"/>
      <w:szCs w:val="24"/>
      <w:lang w:val="uk-UA" w:eastAsia="uk-UA"/>
    </w:rPr>
  </w:style>
  <w:style w:type="paragraph" w:styleId="Footer">
    <w:name w:val="footer"/>
    <w:basedOn w:val="Normal"/>
    <w:link w:val="FooterChar"/>
    <w:uiPriority w:val="99"/>
    <w:unhideWhenUsed/>
    <w:rsid w:val="00D77185"/>
    <w:pPr>
      <w:tabs>
        <w:tab w:val="center" w:pos="4536"/>
        <w:tab w:val="right" w:pos="9072"/>
      </w:tabs>
      <w:spacing w:after="0" w:line="240" w:lineRule="auto"/>
      <w:ind w:firstLine="425"/>
      <w:jc w:val="both"/>
    </w:pPr>
    <w:rPr>
      <w:rFonts w:ascii="Cambria" w:eastAsia="Times New Roman" w:hAnsi="Cambria" w:cs="Times New Roman"/>
      <w:color w:val="auto"/>
      <w:kern w:val="0"/>
      <w:szCs w:val="24"/>
      <w:lang w:val="uk-UA" w:eastAsia="uk-UA"/>
      <w14:ligatures w14:val="none"/>
    </w:rPr>
  </w:style>
  <w:style w:type="character" w:customStyle="1" w:styleId="FooterChar">
    <w:name w:val="Footer Char"/>
    <w:basedOn w:val="DefaultParagraphFont"/>
    <w:link w:val="Footer"/>
    <w:uiPriority w:val="99"/>
    <w:rsid w:val="00D77185"/>
    <w:rPr>
      <w:rFonts w:ascii="Cambria" w:eastAsia="Times New Roman" w:hAnsi="Cambria" w:cs="Times New Roman"/>
      <w:szCs w:val="24"/>
      <w:lang w:val="uk-UA" w:eastAsia="uk-UA"/>
    </w:rPr>
  </w:style>
  <w:style w:type="paragraph" w:styleId="BalloonText">
    <w:name w:val="Balloon Text"/>
    <w:basedOn w:val="Normal"/>
    <w:link w:val="BalloonTextChar"/>
    <w:uiPriority w:val="99"/>
    <w:semiHidden/>
    <w:unhideWhenUsed/>
    <w:rsid w:val="00E35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0B"/>
    <w:rPr>
      <w:rFonts w:ascii="Tahoma" w:eastAsia="Calibri" w:hAnsi="Tahoma" w:cs="Tahoma"/>
      <w:color w:val="000000"/>
      <w:kern w:val="2"/>
      <w:sz w:val="16"/>
      <w:szCs w:val="16"/>
      <w:lang w:val="en-GB" w:eastAsia="en-GB"/>
      <w14:ligatures w14:val="standardContextual"/>
    </w:rPr>
  </w:style>
  <w:style w:type="character" w:customStyle="1" w:styleId="italic">
    <w:name w:val="italic"/>
    <w:basedOn w:val="DefaultParagraphFont"/>
    <w:rsid w:val="000B41C9"/>
  </w:style>
  <w:style w:type="table" w:styleId="TableGrid">
    <w:name w:val="Table Grid"/>
    <w:basedOn w:val="TableNormal"/>
    <w:uiPriority w:val="59"/>
    <w:qFormat/>
    <w:rsid w:val="000B4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B41C9"/>
    <w:pPr>
      <w:spacing w:after="0" w:line="240" w:lineRule="auto"/>
    </w:pPr>
    <w:rPr>
      <w:rFonts w:ascii="Calibri" w:eastAsia="Calibri" w:hAnsi="Calibri" w:cs="Times New Roman"/>
    </w:rPr>
  </w:style>
  <w:style w:type="character" w:customStyle="1" w:styleId="NoSpacingChar">
    <w:name w:val="No Spacing Char"/>
    <w:link w:val="NoSpacing"/>
    <w:uiPriority w:val="1"/>
    <w:rsid w:val="000B41C9"/>
    <w:rPr>
      <w:rFonts w:ascii="Calibri" w:eastAsia="Calibri" w:hAnsi="Calibri" w:cs="Times New Roman"/>
    </w:rPr>
  </w:style>
  <w:style w:type="paragraph" w:styleId="EndnoteText">
    <w:name w:val="endnote text"/>
    <w:basedOn w:val="Normal"/>
    <w:link w:val="EndnoteTextChar"/>
    <w:uiPriority w:val="99"/>
    <w:unhideWhenUsed/>
    <w:rsid w:val="00F02559"/>
    <w:pPr>
      <w:spacing w:after="0" w:line="240" w:lineRule="auto"/>
    </w:pPr>
    <w:rPr>
      <w:rFonts w:cs="Times New Roman"/>
      <w:color w:val="auto"/>
      <w:kern w:val="0"/>
      <w:sz w:val="20"/>
      <w:szCs w:val="20"/>
      <w:lang w:val="en-US" w:eastAsia="en-US"/>
      <w14:ligatures w14:val="none"/>
    </w:rPr>
  </w:style>
  <w:style w:type="character" w:customStyle="1" w:styleId="EndnoteTextChar">
    <w:name w:val="Endnote Text Char"/>
    <w:basedOn w:val="DefaultParagraphFont"/>
    <w:link w:val="EndnoteText"/>
    <w:uiPriority w:val="99"/>
    <w:rsid w:val="00F02559"/>
    <w:rPr>
      <w:rFonts w:ascii="Calibri" w:eastAsia="Calibri" w:hAnsi="Calibri" w:cs="Times New Roman"/>
      <w:sz w:val="20"/>
      <w:szCs w:val="20"/>
    </w:rPr>
  </w:style>
  <w:style w:type="character" w:styleId="Emphasis">
    <w:name w:val="Emphasis"/>
    <w:basedOn w:val="DefaultParagraphFont"/>
    <w:uiPriority w:val="20"/>
    <w:qFormat/>
    <w:rsid w:val="003E4354"/>
    <w:rPr>
      <w:i/>
      <w:iCs/>
    </w:rPr>
  </w:style>
  <w:style w:type="character" w:customStyle="1" w:styleId="ff1">
    <w:name w:val="ff1"/>
    <w:basedOn w:val="DefaultParagraphFont"/>
    <w:rsid w:val="00BF0240"/>
  </w:style>
  <w:style w:type="character" w:customStyle="1" w:styleId="ls18">
    <w:name w:val="ls18"/>
    <w:basedOn w:val="DefaultParagraphFont"/>
    <w:rsid w:val="00BF0240"/>
  </w:style>
  <w:style w:type="character" w:customStyle="1" w:styleId="ls2c">
    <w:name w:val="ls2c"/>
    <w:basedOn w:val="DefaultParagraphFont"/>
    <w:rsid w:val="00BF0240"/>
  </w:style>
  <w:style w:type="character" w:customStyle="1" w:styleId="wsa1">
    <w:name w:val="wsa1"/>
    <w:basedOn w:val="DefaultParagraphFont"/>
    <w:rsid w:val="00BF0240"/>
  </w:style>
  <w:style w:type="character" w:customStyle="1" w:styleId="ls31">
    <w:name w:val="ls31"/>
    <w:basedOn w:val="DefaultParagraphFont"/>
    <w:rsid w:val="00BF0240"/>
  </w:style>
  <w:style w:type="character" w:customStyle="1" w:styleId="ls1b">
    <w:name w:val="ls1b"/>
    <w:basedOn w:val="DefaultParagraphFont"/>
    <w:rsid w:val="00BF0240"/>
  </w:style>
  <w:style w:type="character" w:customStyle="1" w:styleId="ls13">
    <w:name w:val="ls13"/>
    <w:basedOn w:val="DefaultParagraphFont"/>
    <w:rsid w:val="00BF0240"/>
  </w:style>
  <w:style w:type="character" w:customStyle="1" w:styleId="ls20">
    <w:name w:val="ls20"/>
    <w:basedOn w:val="DefaultParagraphFont"/>
    <w:rsid w:val="00BF0240"/>
  </w:style>
  <w:style w:type="character" w:customStyle="1" w:styleId="lsd">
    <w:name w:val="lsd"/>
    <w:basedOn w:val="DefaultParagraphFont"/>
    <w:rsid w:val="00BF0240"/>
  </w:style>
  <w:style w:type="character" w:customStyle="1" w:styleId="ls16">
    <w:name w:val="ls16"/>
    <w:basedOn w:val="DefaultParagraphFont"/>
    <w:rsid w:val="00BF0240"/>
  </w:style>
  <w:style w:type="character" w:customStyle="1" w:styleId="ls26">
    <w:name w:val="ls26"/>
    <w:basedOn w:val="DefaultParagraphFont"/>
    <w:rsid w:val="00BF0240"/>
  </w:style>
  <w:style w:type="character" w:customStyle="1" w:styleId="ls1a">
    <w:name w:val="ls1a"/>
    <w:basedOn w:val="DefaultParagraphFont"/>
    <w:rsid w:val="00BF0240"/>
  </w:style>
  <w:style w:type="character" w:customStyle="1" w:styleId="ls34">
    <w:name w:val="ls34"/>
    <w:basedOn w:val="DefaultParagraphFont"/>
    <w:rsid w:val="00BF0240"/>
  </w:style>
  <w:style w:type="character" w:customStyle="1" w:styleId="lsb">
    <w:name w:val="lsb"/>
    <w:basedOn w:val="DefaultParagraphFont"/>
    <w:rsid w:val="00BF0240"/>
  </w:style>
  <w:style w:type="character" w:customStyle="1" w:styleId="ls12">
    <w:name w:val="ls12"/>
    <w:basedOn w:val="DefaultParagraphFont"/>
    <w:rsid w:val="00BF0240"/>
  </w:style>
  <w:style w:type="character" w:customStyle="1" w:styleId="ls27">
    <w:name w:val="ls27"/>
    <w:basedOn w:val="DefaultParagraphFont"/>
    <w:rsid w:val="00BF0240"/>
  </w:style>
  <w:style w:type="character" w:customStyle="1" w:styleId="ls24">
    <w:name w:val="ls24"/>
    <w:basedOn w:val="DefaultParagraphFont"/>
    <w:rsid w:val="00BF0240"/>
  </w:style>
  <w:style w:type="character" w:customStyle="1" w:styleId="lse">
    <w:name w:val="lse"/>
    <w:basedOn w:val="DefaultParagraphFont"/>
    <w:rsid w:val="00BF0240"/>
  </w:style>
  <w:style w:type="character" w:customStyle="1" w:styleId="ls23">
    <w:name w:val="ls23"/>
    <w:basedOn w:val="DefaultParagraphFont"/>
    <w:rsid w:val="00BF0240"/>
  </w:style>
  <w:style w:type="character" w:customStyle="1" w:styleId="ls39">
    <w:name w:val="ls39"/>
    <w:basedOn w:val="DefaultParagraphFont"/>
    <w:rsid w:val="00BF0240"/>
  </w:style>
  <w:style w:type="character" w:customStyle="1" w:styleId="font-weight-light">
    <w:name w:val="font-weight-light"/>
    <w:basedOn w:val="DefaultParagraphFont"/>
    <w:rsid w:val="00605955"/>
  </w:style>
  <w:style w:type="paragraph" w:customStyle="1" w:styleId="Bibliography1">
    <w:name w:val="Bibliography1"/>
    <w:basedOn w:val="Normal"/>
    <w:rsid w:val="00BB50C7"/>
    <w:pPr>
      <w:spacing w:line="480" w:lineRule="auto"/>
      <w:ind w:left="720" w:hanging="720"/>
    </w:pPr>
    <w:rPr>
      <w:rFonts w:asciiTheme="minorHAnsi" w:eastAsiaTheme="minorEastAsia" w:hAnsiTheme="minorHAnsi" w:cstheme="minorBidi"/>
      <w:color w:val="auto"/>
      <w:sz w:val="24"/>
      <w:szCs w:val="24"/>
      <w:lang w:eastAsia="en-US"/>
    </w:rPr>
  </w:style>
  <w:style w:type="character" w:customStyle="1" w:styleId="url">
    <w:name w:val="url"/>
    <w:basedOn w:val="DefaultParagraphFont"/>
    <w:rsid w:val="00BB50C7"/>
  </w:style>
  <w:style w:type="paragraph" w:customStyle="1" w:styleId="Default">
    <w:name w:val="Default"/>
    <w:rsid w:val="00AD62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6E5D06"/>
    <w:rPr>
      <w:rFonts w:asciiTheme="majorHAnsi" w:eastAsiaTheme="majorEastAsia" w:hAnsiTheme="majorHAnsi" w:cstheme="majorBidi"/>
      <w:b/>
      <w:bCs/>
      <w:color w:val="4F81BD" w:themeColor="accent1"/>
      <w:kern w:val="2"/>
      <w:sz w:val="26"/>
      <w:szCs w:val="26"/>
      <w:lang w:val="en-GB" w:eastAsia="en-GB"/>
      <w14:ligatures w14:val="standardContextual"/>
    </w:rPr>
  </w:style>
  <w:style w:type="table" w:customStyle="1" w:styleId="TableGrid1">
    <w:name w:val="Table Grid1"/>
    <w:basedOn w:val="TableNormal"/>
    <w:next w:val="TableGrid"/>
    <w:uiPriority w:val="39"/>
    <w:rsid w:val="002C412F"/>
    <w:pPr>
      <w:spacing w:after="0" w:line="240" w:lineRule="auto"/>
    </w:pPr>
    <w:rPr>
      <w:rFonts w:ascii="Calibri" w:eastAsia="Calibri" w:hAnsi="Calibri" w:cs="SimSu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C412F"/>
    <w:pPr>
      <w:spacing w:after="0" w:line="240" w:lineRule="auto"/>
    </w:pPr>
    <w:rPr>
      <w:rFonts w:ascii="Calibri" w:eastAsia="Calibri" w:hAnsi="Calibri" w:cs="SimSu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basedOn w:val="DefaultParagraphFont"/>
    <w:uiPriority w:val="22"/>
    <w:qFormat/>
    <w:rsid w:val="001520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185"/>
    <w:pPr>
      <w:spacing w:after="160" w:line="256" w:lineRule="auto"/>
    </w:pPr>
    <w:rPr>
      <w:rFonts w:ascii="Calibri" w:eastAsia="Calibri" w:hAnsi="Calibri" w:cs="Calibri"/>
      <w:color w:val="000000"/>
      <w:kern w:val="2"/>
      <w:lang w:val="en-GB" w:eastAsia="en-GB"/>
      <w14:ligatures w14:val="standardContextual"/>
    </w:rPr>
  </w:style>
  <w:style w:type="paragraph" w:styleId="Heading1">
    <w:name w:val="heading 1"/>
    <w:next w:val="Normal"/>
    <w:link w:val="Heading1Char"/>
    <w:uiPriority w:val="9"/>
    <w:qFormat/>
    <w:rsid w:val="00D77185"/>
    <w:pPr>
      <w:keepNext/>
      <w:keepLines/>
      <w:spacing w:after="252" w:line="256" w:lineRule="auto"/>
      <w:ind w:left="10" w:hanging="10"/>
      <w:outlineLvl w:val="0"/>
    </w:pPr>
    <w:rPr>
      <w:rFonts w:ascii="Times New Roman" w:eastAsia="Times New Roman" w:hAnsi="Times New Roman" w:cs="Times New Roman"/>
      <w:b/>
      <w:color w:val="000000"/>
      <w:kern w:val="2"/>
      <w:sz w:val="24"/>
      <w:lang w:val="en-GB" w:eastAsia="en-GB"/>
      <w14:ligatures w14:val="standardContextual"/>
    </w:rPr>
  </w:style>
  <w:style w:type="paragraph" w:styleId="Heading2">
    <w:name w:val="heading 2"/>
    <w:basedOn w:val="Normal"/>
    <w:next w:val="Normal"/>
    <w:link w:val="Heading2Char"/>
    <w:uiPriority w:val="9"/>
    <w:semiHidden/>
    <w:unhideWhenUsed/>
    <w:qFormat/>
    <w:rsid w:val="006E5D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185"/>
    <w:rPr>
      <w:rFonts w:ascii="Times New Roman" w:eastAsia="Times New Roman" w:hAnsi="Times New Roman" w:cs="Times New Roman"/>
      <w:b/>
      <w:color w:val="000000"/>
      <w:kern w:val="2"/>
      <w:sz w:val="24"/>
      <w:lang w:val="en-GB" w:eastAsia="en-GB"/>
      <w14:ligatures w14:val="standardContextual"/>
    </w:rPr>
  </w:style>
  <w:style w:type="paragraph" w:styleId="ListParagraph">
    <w:name w:val="List Paragraph"/>
    <w:basedOn w:val="Normal"/>
    <w:qFormat/>
    <w:rsid w:val="00D77185"/>
    <w:pPr>
      <w:ind w:left="720"/>
      <w:contextualSpacing/>
    </w:pPr>
  </w:style>
  <w:style w:type="character" w:styleId="Hyperlink">
    <w:name w:val="Hyperlink"/>
    <w:uiPriority w:val="99"/>
    <w:rsid w:val="00D77185"/>
    <w:rPr>
      <w:rFonts w:cs="Times New Roman"/>
      <w:color w:val="0000FF"/>
      <w:u w:val="single"/>
    </w:rPr>
  </w:style>
  <w:style w:type="paragraph" w:styleId="NormalWeb">
    <w:name w:val="Normal (Web)"/>
    <w:basedOn w:val="Normal"/>
    <w:uiPriority w:val="99"/>
    <w:qFormat/>
    <w:rsid w:val="00D77185"/>
    <w:pPr>
      <w:spacing w:before="100" w:beforeAutospacing="1" w:after="100" w:afterAutospacing="1" w:line="240" w:lineRule="auto"/>
      <w:ind w:firstLine="425"/>
      <w:jc w:val="both"/>
    </w:pPr>
    <w:rPr>
      <w:rFonts w:ascii="Cambria" w:eastAsia="MS Mincho" w:hAnsi="Cambria" w:cs="Times New Roman"/>
      <w:color w:val="auto"/>
      <w:kern w:val="0"/>
      <w:szCs w:val="24"/>
      <w:lang w:val="ru-RU" w:eastAsia="ja-JP"/>
      <w14:ligatures w14:val="none"/>
    </w:rPr>
  </w:style>
  <w:style w:type="paragraph" w:styleId="FootnoteText">
    <w:name w:val="footnote text"/>
    <w:basedOn w:val="Normal"/>
    <w:link w:val="FootnoteTextChar"/>
    <w:uiPriority w:val="99"/>
    <w:semiHidden/>
    <w:rsid w:val="00D77185"/>
    <w:pPr>
      <w:spacing w:after="0" w:line="240" w:lineRule="auto"/>
      <w:ind w:firstLine="425"/>
      <w:jc w:val="both"/>
    </w:pPr>
    <w:rPr>
      <w:rFonts w:ascii="Cambria" w:eastAsia="Times New Roman" w:hAnsi="Cambria" w:cs="Times New Roman"/>
      <w:color w:val="auto"/>
      <w:kern w:val="0"/>
      <w:sz w:val="20"/>
      <w:szCs w:val="20"/>
      <w:lang w:val="uk-UA" w:eastAsia="uk-UA"/>
      <w14:ligatures w14:val="none"/>
    </w:rPr>
  </w:style>
  <w:style w:type="character" w:customStyle="1" w:styleId="FootnoteTextChar">
    <w:name w:val="Footnote Text Char"/>
    <w:basedOn w:val="DefaultParagraphFont"/>
    <w:link w:val="FootnoteText"/>
    <w:uiPriority w:val="99"/>
    <w:semiHidden/>
    <w:rsid w:val="00D77185"/>
    <w:rPr>
      <w:rFonts w:ascii="Cambria" w:eastAsia="Times New Roman" w:hAnsi="Cambria" w:cs="Times New Roman"/>
      <w:sz w:val="20"/>
      <w:szCs w:val="20"/>
      <w:lang w:val="uk-UA" w:eastAsia="uk-UA"/>
    </w:rPr>
  </w:style>
  <w:style w:type="character" w:styleId="FootnoteReference">
    <w:name w:val="footnote reference"/>
    <w:uiPriority w:val="99"/>
    <w:semiHidden/>
    <w:rsid w:val="00D77185"/>
    <w:rPr>
      <w:rFonts w:cs="Times New Roman"/>
      <w:vertAlign w:val="superscript"/>
    </w:rPr>
  </w:style>
  <w:style w:type="paragraph" w:styleId="Header">
    <w:name w:val="header"/>
    <w:basedOn w:val="Normal"/>
    <w:link w:val="HeaderChar"/>
    <w:uiPriority w:val="99"/>
    <w:unhideWhenUsed/>
    <w:rsid w:val="00D77185"/>
    <w:pPr>
      <w:tabs>
        <w:tab w:val="center" w:pos="4536"/>
        <w:tab w:val="right" w:pos="9072"/>
      </w:tabs>
      <w:spacing w:after="0" w:line="240" w:lineRule="auto"/>
      <w:ind w:firstLine="425"/>
      <w:jc w:val="both"/>
    </w:pPr>
    <w:rPr>
      <w:rFonts w:ascii="Cambria" w:eastAsia="Times New Roman" w:hAnsi="Cambria" w:cs="Times New Roman"/>
      <w:color w:val="auto"/>
      <w:kern w:val="0"/>
      <w:szCs w:val="24"/>
      <w:lang w:val="uk-UA" w:eastAsia="uk-UA"/>
      <w14:ligatures w14:val="none"/>
    </w:rPr>
  </w:style>
  <w:style w:type="character" w:customStyle="1" w:styleId="HeaderChar">
    <w:name w:val="Header Char"/>
    <w:basedOn w:val="DefaultParagraphFont"/>
    <w:link w:val="Header"/>
    <w:uiPriority w:val="99"/>
    <w:rsid w:val="00D77185"/>
    <w:rPr>
      <w:rFonts w:ascii="Cambria" w:eastAsia="Times New Roman" w:hAnsi="Cambria" w:cs="Times New Roman"/>
      <w:szCs w:val="24"/>
      <w:lang w:val="uk-UA" w:eastAsia="uk-UA"/>
    </w:rPr>
  </w:style>
  <w:style w:type="paragraph" w:styleId="Footer">
    <w:name w:val="footer"/>
    <w:basedOn w:val="Normal"/>
    <w:link w:val="FooterChar"/>
    <w:uiPriority w:val="99"/>
    <w:unhideWhenUsed/>
    <w:rsid w:val="00D77185"/>
    <w:pPr>
      <w:tabs>
        <w:tab w:val="center" w:pos="4536"/>
        <w:tab w:val="right" w:pos="9072"/>
      </w:tabs>
      <w:spacing w:after="0" w:line="240" w:lineRule="auto"/>
      <w:ind w:firstLine="425"/>
      <w:jc w:val="both"/>
    </w:pPr>
    <w:rPr>
      <w:rFonts w:ascii="Cambria" w:eastAsia="Times New Roman" w:hAnsi="Cambria" w:cs="Times New Roman"/>
      <w:color w:val="auto"/>
      <w:kern w:val="0"/>
      <w:szCs w:val="24"/>
      <w:lang w:val="uk-UA" w:eastAsia="uk-UA"/>
      <w14:ligatures w14:val="none"/>
    </w:rPr>
  </w:style>
  <w:style w:type="character" w:customStyle="1" w:styleId="FooterChar">
    <w:name w:val="Footer Char"/>
    <w:basedOn w:val="DefaultParagraphFont"/>
    <w:link w:val="Footer"/>
    <w:uiPriority w:val="99"/>
    <w:rsid w:val="00D77185"/>
    <w:rPr>
      <w:rFonts w:ascii="Cambria" w:eastAsia="Times New Roman" w:hAnsi="Cambria" w:cs="Times New Roman"/>
      <w:szCs w:val="24"/>
      <w:lang w:val="uk-UA" w:eastAsia="uk-UA"/>
    </w:rPr>
  </w:style>
  <w:style w:type="paragraph" w:styleId="BalloonText">
    <w:name w:val="Balloon Text"/>
    <w:basedOn w:val="Normal"/>
    <w:link w:val="BalloonTextChar"/>
    <w:uiPriority w:val="99"/>
    <w:semiHidden/>
    <w:unhideWhenUsed/>
    <w:rsid w:val="00E35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0B"/>
    <w:rPr>
      <w:rFonts w:ascii="Tahoma" w:eastAsia="Calibri" w:hAnsi="Tahoma" w:cs="Tahoma"/>
      <w:color w:val="000000"/>
      <w:kern w:val="2"/>
      <w:sz w:val="16"/>
      <w:szCs w:val="16"/>
      <w:lang w:val="en-GB" w:eastAsia="en-GB"/>
      <w14:ligatures w14:val="standardContextual"/>
    </w:rPr>
  </w:style>
  <w:style w:type="character" w:customStyle="1" w:styleId="italic">
    <w:name w:val="italic"/>
    <w:basedOn w:val="DefaultParagraphFont"/>
    <w:rsid w:val="000B41C9"/>
  </w:style>
  <w:style w:type="table" w:styleId="TableGrid">
    <w:name w:val="Table Grid"/>
    <w:basedOn w:val="TableNormal"/>
    <w:uiPriority w:val="59"/>
    <w:qFormat/>
    <w:rsid w:val="000B4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B41C9"/>
    <w:pPr>
      <w:spacing w:after="0" w:line="240" w:lineRule="auto"/>
    </w:pPr>
    <w:rPr>
      <w:rFonts w:ascii="Calibri" w:eastAsia="Calibri" w:hAnsi="Calibri" w:cs="Times New Roman"/>
    </w:rPr>
  </w:style>
  <w:style w:type="character" w:customStyle="1" w:styleId="NoSpacingChar">
    <w:name w:val="No Spacing Char"/>
    <w:link w:val="NoSpacing"/>
    <w:uiPriority w:val="1"/>
    <w:rsid w:val="000B41C9"/>
    <w:rPr>
      <w:rFonts w:ascii="Calibri" w:eastAsia="Calibri" w:hAnsi="Calibri" w:cs="Times New Roman"/>
    </w:rPr>
  </w:style>
  <w:style w:type="paragraph" w:styleId="EndnoteText">
    <w:name w:val="endnote text"/>
    <w:basedOn w:val="Normal"/>
    <w:link w:val="EndnoteTextChar"/>
    <w:uiPriority w:val="99"/>
    <w:unhideWhenUsed/>
    <w:rsid w:val="00F02559"/>
    <w:pPr>
      <w:spacing w:after="0" w:line="240" w:lineRule="auto"/>
    </w:pPr>
    <w:rPr>
      <w:rFonts w:cs="Times New Roman"/>
      <w:color w:val="auto"/>
      <w:kern w:val="0"/>
      <w:sz w:val="20"/>
      <w:szCs w:val="20"/>
      <w:lang w:val="en-US" w:eastAsia="en-US"/>
      <w14:ligatures w14:val="none"/>
    </w:rPr>
  </w:style>
  <w:style w:type="character" w:customStyle="1" w:styleId="EndnoteTextChar">
    <w:name w:val="Endnote Text Char"/>
    <w:basedOn w:val="DefaultParagraphFont"/>
    <w:link w:val="EndnoteText"/>
    <w:uiPriority w:val="99"/>
    <w:rsid w:val="00F02559"/>
    <w:rPr>
      <w:rFonts w:ascii="Calibri" w:eastAsia="Calibri" w:hAnsi="Calibri" w:cs="Times New Roman"/>
      <w:sz w:val="20"/>
      <w:szCs w:val="20"/>
    </w:rPr>
  </w:style>
  <w:style w:type="character" w:styleId="Emphasis">
    <w:name w:val="Emphasis"/>
    <w:basedOn w:val="DefaultParagraphFont"/>
    <w:uiPriority w:val="20"/>
    <w:qFormat/>
    <w:rsid w:val="003E4354"/>
    <w:rPr>
      <w:i/>
      <w:iCs/>
    </w:rPr>
  </w:style>
  <w:style w:type="character" w:customStyle="1" w:styleId="ff1">
    <w:name w:val="ff1"/>
    <w:basedOn w:val="DefaultParagraphFont"/>
    <w:rsid w:val="00BF0240"/>
  </w:style>
  <w:style w:type="character" w:customStyle="1" w:styleId="ls18">
    <w:name w:val="ls18"/>
    <w:basedOn w:val="DefaultParagraphFont"/>
    <w:rsid w:val="00BF0240"/>
  </w:style>
  <w:style w:type="character" w:customStyle="1" w:styleId="ls2c">
    <w:name w:val="ls2c"/>
    <w:basedOn w:val="DefaultParagraphFont"/>
    <w:rsid w:val="00BF0240"/>
  </w:style>
  <w:style w:type="character" w:customStyle="1" w:styleId="wsa1">
    <w:name w:val="wsa1"/>
    <w:basedOn w:val="DefaultParagraphFont"/>
    <w:rsid w:val="00BF0240"/>
  </w:style>
  <w:style w:type="character" w:customStyle="1" w:styleId="ls31">
    <w:name w:val="ls31"/>
    <w:basedOn w:val="DefaultParagraphFont"/>
    <w:rsid w:val="00BF0240"/>
  </w:style>
  <w:style w:type="character" w:customStyle="1" w:styleId="ls1b">
    <w:name w:val="ls1b"/>
    <w:basedOn w:val="DefaultParagraphFont"/>
    <w:rsid w:val="00BF0240"/>
  </w:style>
  <w:style w:type="character" w:customStyle="1" w:styleId="ls13">
    <w:name w:val="ls13"/>
    <w:basedOn w:val="DefaultParagraphFont"/>
    <w:rsid w:val="00BF0240"/>
  </w:style>
  <w:style w:type="character" w:customStyle="1" w:styleId="ls20">
    <w:name w:val="ls20"/>
    <w:basedOn w:val="DefaultParagraphFont"/>
    <w:rsid w:val="00BF0240"/>
  </w:style>
  <w:style w:type="character" w:customStyle="1" w:styleId="lsd">
    <w:name w:val="lsd"/>
    <w:basedOn w:val="DefaultParagraphFont"/>
    <w:rsid w:val="00BF0240"/>
  </w:style>
  <w:style w:type="character" w:customStyle="1" w:styleId="ls16">
    <w:name w:val="ls16"/>
    <w:basedOn w:val="DefaultParagraphFont"/>
    <w:rsid w:val="00BF0240"/>
  </w:style>
  <w:style w:type="character" w:customStyle="1" w:styleId="ls26">
    <w:name w:val="ls26"/>
    <w:basedOn w:val="DefaultParagraphFont"/>
    <w:rsid w:val="00BF0240"/>
  </w:style>
  <w:style w:type="character" w:customStyle="1" w:styleId="ls1a">
    <w:name w:val="ls1a"/>
    <w:basedOn w:val="DefaultParagraphFont"/>
    <w:rsid w:val="00BF0240"/>
  </w:style>
  <w:style w:type="character" w:customStyle="1" w:styleId="ls34">
    <w:name w:val="ls34"/>
    <w:basedOn w:val="DefaultParagraphFont"/>
    <w:rsid w:val="00BF0240"/>
  </w:style>
  <w:style w:type="character" w:customStyle="1" w:styleId="lsb">
    <w:name w:val="lsb"/>
    <w:basedOn w:val="DefaultParagraphFont"/>
    <w:rsid w:val="00BF0240"/>
  </w:style>
  <w:style w:type="character" w:customStyle="1" w:styleId="ls12">
    <w:name w:val="ls12"/>
    <w:basedOn w:val="DefaultParagraphFont"/>
    <w:rsid w:val="00BF0240"/>
  </w:style>
  <w:style w:type="character" w:customStyle="1" w:styleId="ls27">
    <w:name w:val="ls27"/>
    <w:basedOn w:val="DefaultParagraphFont"/>
    <w:rsid w:val="00BF0240"/>
  </w:style>
  <w:style w:type="character" w:customStyle="1" w:styleId="ls24">
    <w:name w:val="ls24"/>
    <w:basedOn w:val="DefaultParagraphFont"/>
    <w:rsid w:val="00BF0240"/>
  </w:style>
  <w:style w:type="character" w:customStyle="1" w:styleId="lse">
    <w:name w:val="lse"/>
    <w:basedOn w:val="DefaultParagraphFont"/>
    <w:rsid w:val="00BF0240"/>
  </w:style>
  <w:style w:type="character" w:customStyle="1" w:styleId="ls23">
    <w:name w:val="ls23"/>
    <w:basedOn w:val="DefaultParagraphFont"/>
    <w:rsid w:val="00BF0240"/>
  </w:style>
  <w:style w:type="character" w:customStyle="1" w:styleId="ls39">
    <w:name w:val="ls39"/>
    <w:basedOn w:val="DefaultParagraphFont"/>
    <w:rsid w:val="00BF0240"/>
  </w:style>
  <w:style w:type="character" w:customStyle="1" w:styleId="font-weight-light">
    <w:name w:val="font-weight-light"/>
    <w:basedOn w:val="DefaultParagraphFont"/>
    <w:rsid w:val="00605955"/>
  </w:style>
  <w:style w:type="paragraph" w:customStyle="1" w:styleId="Bibliography1">
    <w:name w:val="Bibliography1"/>
    <w:basedOn w:val="Normal"/>
    <w:rsid w:val="00BB50C7"/>
    <w:pPr>
      <w:spacing w:line="480" w:lineRule="auto"/>
      <w:ind w:left="720" w:hanging="720"/>
    </w:pPr>
    <w:rPr>
      <w:rFonts w:asciiTheme="minorHAnsi" w:eastAsiaTheme="minorEastAsia" w:hAnsiTheme="minorHAnsi" w:cstheme="minorBidi"/>
      <w:color w:val="auto"/>
      <w:sz w:val="24"/>
      <w:szCs w:val="24"/>
      <w:lang w:eastAsia="en-US"/>
    </w:rPr>
  </w:style>
  <w:style w:type="character" w:customStyle="1" w:styleId="url">
    <w:name w:val="url"/>
    <w:basedOn w:val="DefaultParagraphFont"/>
    <w:rsid w:val="00BB50C7"/>
  </w:style>
  <w:style w:type="paragraph" w:customStyle="1" w:styleId="Default">
    <w:name w:val="Default"/>
    <w:rsid w:val="00AD62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6E5D06"/>
    <w:rPr>
      <w:rFonts w:asciiTheme="majorHAnsi" w:eastAsiaTheme="majorEastAsia" w:hAnsiTheme="majorHAnsi" w:cstheme="majorBidi"/>
      <w:b/>
      <w:bCs/>
      <w:color w:val="4F81BD" w:themeColor="accent1"/>
      <w:kern w:val="2"/>
      <w:sz w:val="26"/>
      <w:szCs w:val="26"/>
      <w:lang w:val="en-GB" w:eastAsia="en-GB"/>
      <w14:ligatures w14:val="standardContextual"/>
    </w:rPr>
  </w:style>
  <w:style w:type="table" w:customStyle="1" w:styleId="TableGrid1">
    <w:name w:val="Table Grid1"/>
    <w:basedOn w:val="TableNormal"/>
    <w:next w:val="TableGrid"/>
    <w:uiPriority w:val="39"/>
    <w:rsid w:val="002C412F"/>
    <w:pPr>
      <w:spacing w:after="0" w:line="240" w:lineRule="auto"/>
    </w:pPr>
    <w:rPr>
      <w:rFonts w:ascii="Calibri" w:eastAsia="Calibri" w:hAnsi="Calibri" w:cs="SimSu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C412F"/>
    <w:pPr>
      <w:spacing w:after="0" w:line="240" w:lineRule="auto"/>
    </w:pPr>
    <w:rPr>
      <w:rFonts w:ascii="Calibri" w:eastAsia="Calibri" w:hAnsi="Calibri" w:cs="SimSun"/>
      <w:lang w:val="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basedOn w:val="DefaultParagraphFont"/>
    <w:uiPriority w:val="22"/>
    <w:qFormat/>
    <w:rsid w:val="001520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13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923E9-C68F-4DB2-9520-6E0E0EFF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4353</Words>
  <Characters>24815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Aluko</dc:creator>
  <cp:lastModifiedBy>Dr  Aluko</cp:lastModifiedBy>
  <cp:revision>5</cp:revision>
  <cp:lastPrinted>2026-09-15T14:11:00Z</cp:lastPrinted>
  <dcterms:created xsi:type="dcterms:W3CDTF">2026-09-15T14:42:00Z</dcterms:created>
  <dcterms:modified xsi:type="dcterms:W3CDTF">2026-09-15T14:50:00Z</dcterms:modified>
</cp:coreProperties>
</file>